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4368" w14:textId="77777777" w:rsidR="00AE47D1" w:rsidRPr="00733546" w:rsidRDefault="004F1E35" w:rsidP="00733546">
      <w:pPr>
        <w:spacing w:after="0" w:line="240" w:lineRule="auto"/>
        <w:rPr>
          <w:rFonts w:ascii="Calibri" w:hAnsi="Calibri" w:cs="Calibri"/>
        </w:rPr>
      </w:pPr>
      <w:r>
        <w:rPr>
          <w:rFonts w:cstheme="minorHAnsi"/>
          <w:b/>
          <w:noProof/>
          <w:lang w:val="en-US"/>
        </w:rPr>
        <w:drawing>
          <wp:anchor distT="0" distB="0" distL="114300" distR="114300" simplePos="0" relativeHeight="251659264" behindDoc="1" locked="0" layoutInCell="1" allowOverlap="1" wp14:anchorId="1B3043FE" wp14:editId="6C1172A7">
            <wp:simplePos x="0" y="0"/>
            <wp:positionH relativeFrom="column">
              <wp:posOffset>523875</wp:posOffset>
            </wp:positionH>
            <wp:positionV relativeFrom="paragraph">
              <wp:posOffset>-371475</wp:posOffset>
            </wp:positionV>
            <wp:extent cx="4476750" cy="1991765"/>
            <wp:effectExtent l="0" t="0" r="0" b="8890"/>
            <wp:wrapNone/>
            <wp:docPr id="1" name="Picture 1" descr="C:\Users\Dentrain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rain1\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0" cy="19917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B304369" w14:textId="77777777" w:rsidR="00AE47D1" w:rsidRPr="00733546" w:rsidRDefault="00AE47D1" w:rsidP="00733546">
      <w:pPr>
        <w:spacing w:after="0" w:line="240" w:lineRule="auto"/>
        <w:rPr>
          <w:rFonts w:ascii="Calibri" w:hAnsi="Calibri" w:cs="Calibri"/>
          <w:b/>
        </w:rPr>
      </w:pPr>
    </w:p>
    <w:p w14:paraId="1B30436A" w14:textId="41185877" w:rsidR="004F1E35" w:rsidRDefault="004F1E35" w:rsidP="00733546">
      <w:pPr>
        <w:spacing w:after="0" w:line="240" w:lineRule="auto"/>
        <w:jc w:val="center"/>
        <w:rPr>
          <w:rFonts w:ascii="Calibri" w:hAnsi="Calibri" w:cs="Calibri"/>
          <w:b/>
          <w:sz w:val="52"/>
          <w:szCs w:val="52"/>
        </w:rPr>
      </w:pPr>
    </w:p>
    <w:p w14:paraId="5E06AAD0" w14:textId="40D3E8BF" w:rsidR="00BA733D" w:rsidRDefault="00BA733D" w:rsidP="00733546">
      <w:pPr>
        <w:spacing w:after="0" w:line="240" w:lineRule="auto"/>
        <w:jc w:val="center"/>
        <w:rPr>
          <w:rFonts w:ascii="Calibri" w:hAnsi="Calibri" w:cs="Calibri"/>
          <w:b/>
          <w:sz w:val="52"/>
          <w:szCs w:val="52"/>
        </w:rPr>
      </w:pPr>
    </w:p>
    <w:p w14:paraId="77A502D7" w14:textId="77777777" w:rsidR="00BA733D" w:rsidRDefault="00BA733D" w:rsidP="00031F0A">
      <w:pPr>
        <w:spacing w:after="0" w:line="240" w:lineRule="auto"/>
        <w:rPr>
          <w:rFonts w:ascii="Calibri" w:hAnsi="Calibri" w:cs="Calibri"/>
          <w:b/>
          <w:sz w:val="52"/>
          <w:szCs w:val="52"/>
        </w:rPr>
      </w:pPr>
    </w:p>
    <w:p w14:paraId="1B30436B" w14:textId="77777777" w:rsidR="00AE47D1" w:rsidRPr="00733546" w:rsidRDefault="004D3400" w:rsidP="00733546">
      <w:pPr>
        <w:spacing w:after="0" w:line="240" w:lineRule="auto"/>
        <w:jc w:val="center"/>
        <w:rPr>
          <w:rFonts w:ascii="Calibri" w:hAnsi="Calibri" w:cs="Calibri"/>
          <w:b/>
          <w:sz w:val="52"/>
          <w:szCs w:val="52"/>
        </w:rPr>
      </w:pPr>
      <w:r w:rsidRPr="00733546">
        <w:rPr>
          <w:rFonts w:ascii="Calibri" w:hAnsi="Calibri" w:cs="Calibri"/>
          <w:b/>
          <w:sz w:val="52"/>
          <w:szCs w:val="52"/>
        </w:rPr>
        <w:t>Preventing Extremism and Radicalisation Policy</w:t>
      </w:r>
      <w:r w:rsidR="00843355">
        <w:rPr>
          <w:rFonts w:ascii="Calibri" w:hAnsi="Calibri" w:cs="Calibri"/>
          <w:b/>
          <w:sz w:val="52"/>
          <w:szCs w:val="52"/>
        </w:rPr>
        <w:t xml:space="preserve"> for Apprentices </w:t>
      </w:r>
    </w:p>
    <w:p w14:paraId="1B30436C" w14:textId="77777777" w:rsidR="00AE47D1" w:rsidRPr="00733546" w:rsidRDefault="00AE47D1" w:rsidP="00733546">
      <w:pPr>
        <w:spacing w:after="0" w:line="240" w:lineRule="auto"/>
        <w:rPr>
          <w:rFonts w:ascii="Calibri" w:hAnsi="Calibri" w:cs="Calibri"/>
        </w:rPr>
      </w:pPr>
    </w:p>
    <w:p w14:paraId="1B30436D" w14:textId="77777777" w:rsidR="00AE47D1" w:rsidRPr="00733546" w:rsidRDefault="00AE47D1" w:rsidP="00733546">
      <w:pPr>
        <w:spacing w:after="0" w:line="240" w:lineRule="auto"/>
        <w:rPr>
          <w:rFonts w:ascii="Calibri" w:hAnsi="Calibri" w:cs="Calibri"/>
        </w:rPr>
      </w:pPr>
    </w:p>
    <w:p w14:paraId="1B30436E" w14:textId="77777777" w:rsidR="00AE47D1" w:rsidRPr="00733546" w:rsidRDefault="00AE47D1" w:rsidP="00733546">
      <w:pPr>
        <w:spacing w:after="0" w:line="240" w:lineRule="auto"/>
        <w:rPr>
          <w:rFonts w:ascii="Calibri" w:hAnsi="Calibri" w:cs="Calibri"/>
        </w:rPr>
      </w:pPr>
    </w:p>
    <w:p w14:paraId="1B30437D" w14:textId="77777777" w:rsidR="00AE47D1" w:rsidRPr="00733546" w:rsidRDefault="00AE47D1" w:rsidP="00733546">
      <w:pPr>
        <w:spacing w:after="0" w:line="240" w:lineRule="auto"/>
        <w:rPr>
          <w:rFonts w:ascii="Calibri" w:hAnsi="Calibri" w:cs="Calibri"/>
        </w:rPr>
      </w:pPr>
    </w:p>
    <w:p w14:paraId="1B30437E" w14:textId="77777777" w:rsidR="00AE47D1" w:rsidRPr="00733546" w:rsidRDefault="00AE47D1" w:rsidP="00733546">
      <w:pPr>
        <w:spacing w:after="0" w:line="240" w:lineRule="auto"/>
        <w:rPr>
          <w:rFonts w:ascii="Calibri" w:hAnsi="Calibri" w:cs="Calibri"/>
        </w:rPr>
      </w:pPr>
    </w:p>
    <w:p w14:paraId="1B30437F" w14:textId="2CB76FAB" w:rsidR="00177316" w:rsidRPr="00543EB7" w:rsidRDefault="00543EB7" w:rsidP="00733546">
      <w:pPr>
        <w:spacing w:after="0" w:line="240" w:lineRule="auto"/>
        <w:rPr>
          <w:rFonts w:ascii="Calibri" w:hAnsi="Calibri" w:cs="Calibri"/>
          <w:b/>
          <w:bCs/>
        </w:rPr>
      </w:pPr>
      <w:r w:rsidRPr="00543EB7">
        <w:rPr>
          <w:rFonts w:ascii="Calibri" w:hAnsi="Calibri" w:cs="Calibri"/>
          <w:b/>
          <w:bCs/>
        </w:rPr>
        <w:t>Version Control Statement</w:t>
      </w:r>
    </w:p>
    <w:p w14:paraId="1443BD14" w14:textId="77777777" w:rsidR="00543EB7" w:rsidRPr="00733546" w:rsidRDefault="00543EB7" w:rsidP="00733546">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113"/>
        <w:gridCol w:w="1278"/>
        <w:gridCol w:w="1187"/>
        <w:gridCol w:w="1371"/>
      </w:tblGrid>
      <w:tr w:rsidR="007B5C7D" w:rsidRPr="00733546" w14:paraId="4F213266" w14:textId="77777777" w:rsidTr="00543EB7">
        <w:tc>
          <w:tcPr>
            <w:tcW w:w="1074" w:type="dxa"/>
          </w:tcPr>
          <w:p w14:paraId="7CBA6CC1" w14:textId="77777777" w:rsidR="007B5C7D" w:rsidRPr="00733546" w:rsidRDefault="007B5C7D" w:rsidP="002D1116">
            <w:pPr>
              <w:tabs>
                <w:tab w:val="left" w:pos="3976"/>
              </w:tabs>
              <w:rPr>
                <w:rFonts w:ascii="Calibri" w:hAnsi="Calibri" w:cs="Calibri"/>
                <w:b/>
                <w:sz w:val="28"/>
                <w:szCs w:val="28"/>
                <w:u w:val="single"/>
              </w:rPr>
            </w:pPr>
            <w:r w:rsidRPr="00733546">
              <w:rPr>
                <w:rFonts w:ascii="Calibri" w:hAnsi="Calibri" w:cs="Calibri"/>
                <w:b/>
                <w:sz w:val="28"/>
                <w:szCs w:val="28"/>
                <w:u w:val="single"/>
              </w:rPr>
              <w:t xml:space="preserve">Section </w:t>
            </w:r>
          </w:p>
        </w:tc>
        <w:tc>
          <w:tcPr>
            <w:tcW w:w="1278" w:type="dxa"/>
          </w:tcPr>
          <w:p w14:paraId="16EB1882" w14:textId="77777777" w:rsidR="007B5C7D" w:rsidRPr="00733546" w:rsidRDefault="007B5C7D" w:rsidP="002D1116">
            <w:pPr>
              <w:tabs>
                <w:tab w:val="left" w:pos="3976"/>
              </w:tabs>
              <w:rPr>
                <w:rFonts w:ascii="Calibri" w:hAnsi="Calibri" w:cs="Calibri"/>
                <w:b/>
                <w:sz w:val="28"/>
                <w:szCs w:val="28"/>
                <w:u w:val="single"/>
              </w:rPr>
            </w:pPr>
            <w:r w:rsidRPr="00733546">
              <w:rPr>
                <w:rFonts w:ascii="Calibri" w:hAnsi="Calibri" w:cs="Calibri"/>
                <w:b/>
                <w:sz w:val="28"/>
                <w:szCs w:val="28"/>
                <w:u w:val="single"/>
              </w:rPr>
              <w:t>Date</w:t>
            </w:r>
          </w:p>
        </w:tc>
        <w:tc>
          <w:tcPr>
            <w:tcW w:w="1187" w:type="dxa"/>
          </w:tcPr>
          <w:p w14:paraId="5417F862" w14:textId="77777777" w:rsidR="007B5C7D" w:rsidRPr="00733546" w:rsidRDefault="007B5C7D" w:rsidP="002D1116">
            <w:pPr>
              <w:tabs>
                <w:tab w:val="left" w:pos="3976"/>
              </w:tabs>
              <w:rPr>
                <w:rFonts w:ascii="Calibri" w:hAnsi="Calibri" w:cs="Calibri"/>
                <w:b/>
                <w:sz w:val="28"/>
                <w:szCs w:val="28"/>
                <w:u w:val="single"/>
              </w:rPr>
            </w:pPr>
            <w:r w:rsidRPr="00733546">
              <w:rPr>
                <w:rFonts w:ascii="Calibri" w:hAnsi="Calibri" w:cs="Calibri"/>
                <w:b/>
                <w:sz w:val="28"/>
                <w:szCs w:val="28"/>
                <w:u w:val="single"/>
              </w:rPr>
              <w:t xml:space="preserve">Author </w:t>
            </w:r>
          </w:p>
        </w:tc>
        <w:tc>
          <w:tcPr>
            <w:tcW w:w="1371" w:type="dxa"/>
          </w:tcPr>
          <w:p w14:paraId="36A0BA8B" w14:textId="77777777" w:rsidR="007B5C7D" w:rsidRPr="00733546" w:rsidRDefault="007B5C7D" w:rsidP="002D1116">
            <w:pPr>
              <w:tabs>
                <w:tab w:val="left" w:pos="3976"/>
              </w:tabs>
              <w:rPr>
                <w:rFonts w:ascii="Calibri" w:hAnsi="Calibri" w:cs="Calibri"/>
                <w:b/>
                <w:sz w:val="28"/>
                <w:szCs w:val="28"/>
                <w:u w:val="single"/>
              </w:rPr>
            </w:pPr>
            <w:r w:rsidRPr="00733546">
              <w:rPr>
                <w:rFonts w:ascii="Calibri" w:hAnsi="Calibri" w:cs="Calibri"/>
                <w:b/>
                <w:sz w:val="28"/>
                <w:szCs w:val="28"/>
                <w:u w:val="single"/>
              </w:rPr>
              <w:t xml:space="preserve">Changes </w:t>
            </w:r>
          </w:p>
        </w:tc>
      </w:tr>
      <w:tr w:rsidR="007B5C7D" w:rsidRPr="00733546" w14:paraId="008B1007" w14:textId="77777777" w:rsidTr="00543EB7">
        <w:tc>
          <w:tcPr>
            <w:tcW w:w="1074" w:type="dxa"/>
          </w:tcPr>
          <w:p w14:paraId="47974CF8" w14:textId="77777777" w:rsidR="007B5C7D" w:rsidRPr="00733546" w:rsidRDefault="007B5C7D" w:rsidP="002D1116">
            <w:pPr>
              <w:tabs>
                <w:tab w:val="left" w:pos="3976"/>
              </w:tabs>
              <w:rPr>
                <w:rFonts w:ascii="Calibri" w:hAnsi="Calibri" w:cs="Calibri"/>
                <w:b/>
                <w:sz w:val="28"/>
                <w:szCs w:val="28"/>
              </w:rPr>
            </w:pPr>
          </w:p>
        </w:tc>
        <w:tc>
          <w:tcPr>
            <w:tcW w:w="1278" w:type="dxa"/>
          </w:tcPr>
          <w:p w14:paraId="12709EBD" w14:textId="77777777" w:rsidR="007B5C7D" w:rsidRPr="00733546" w:rsidRDefault="007B5C7D" w:rsidP="002D1116">
            <w:pPr>
              <w:tabs>
                <w:tab w:val="left" w:pos="3976"/>
              </w:tabs>
              <w:rPr>
                <w:rFonts w:ascii="Calibri" w:hAnsi="Calibri" w:cs="Calibri"/>
                <w:b/>
                <w:sz w:val="28"/>
                <w:szCs w:val="28"/>
              </w:rPr>
            </w:pPr>
          </w:p>
        </w:tc>
        <w:tc>
          <w:tcPr>
            <w:tcW w:w="1187" w:type="dxa"/>
          </w:tcPr>
          <w:p w14:paraId="05866792" w14:textId="77777777" w:rsidR="007B5C7D" w:rsidRPr="00733546" w:rsidRDefault="007B5C7D" w:rsidP="002D1116">
            <w:pPr>
              <w:tabs>
                <w:tab w:val="left" w:pos="3976"/>
              </w:tabs>
              <w:rPr>
                <w:rFonts w:ascii="Calibri" w:hAnsi="Calibri" w:cs="Calibri"/>
                <w:b/>
                <w:sz w:val="28"/>
                <w:szCs w:val="28"/>
              </w:rPr>
            </w:pPr>
          </w:p>
        </w:tc>
        <w:tc>
          <w:tcPr>
            <w:tcW w:w="1371" w:type="dxa"/>
          </w:tcPr>
          <w:p w14:paraId="103FF447" w14:textId="77777777" w:rsidR="007B5C7D" w:rsidRPr="00733546" w:rsidRDefault="007B5C7D" w:rsidP="002D1116">
            <w:pPr>
              <w:tabs>
                <w:tab w:val="left" w:pos="3976"/>
              </w:tabs>
              <w:rPr>
                <w:rFonts w:ascii="Calibri" w:hAnsi="Calibri" w:cs="Calibri"/>
                <w:b/>
                <w:sz w:val="28"/>
                <w:szCs w:val="28"/>
              </w:rPr>
            </w:pPr>
          </w:p>
        </w:tc>
      </w:tr>
      <w:tr w:rsidR="007B5C7D" w:rsidRPr="00733546" w14:paraId="69756F21" w14:textId="77777777" w:rsidTr="00543EB7">
        <w:tc>
          <w:tcPr>
            <w:tcW w:w="1074" w:type="dxa"/>
          </w:tcPr>
          <w:p w14:paraId="71F293EA" w14:textId="77777777" w:rsidR="007B5C7D" w:rsidRPr="00843355" w:rsidRDefault="007B5C7D" w:rsidP="002D1116">
            <w:pPr>
              <w:tabs>
                <w:tab w:val="left" w:pos="3976"/>
              </w:tabs>
              <w:rPr>
                <w:rFonts w:ascii="Calibri" w:hAnsi="Calibri" w:cs="Calibri"/>
              </w:rPr>
            </w:pPr>
            <w:r w:rsidRPr="00843355">
              <w:rPr>
                <w:rFonts w:ascii="Calibri" w:hAnsi="Calibri" w:cs="Calibri"/>
              </w:rPr>
              <w:t>All</w:t>
            </w:r>
          </w:p>
        </w:tc>
        <w:tc>
          <w:tcPr>
            <w:tcW w:w="1278" w:type="dxa"/>
          </w:tcPr>
          <w:p w14:paraId="02215AC5" w14:textId="77777777" w:rsidR="007B5C7D" w:rsidRPr="00843355" w:rsidRDefault="007B5C7D" w:rsidP="002D1116">
            <w:pPr>
              <w:tabs>
                <w:tab w:val="left" w:pos="3976"/>
              </w:tabs>
              <w:rPr>
                <w:rFonts w:ascii="Calibri" w:hAnsi="Calibri" w:cs="Calibri"/>
              </w:rPr>
            </w:pPr>
            <w:r w:rsidRPr="00843355">
              <w:rPr>
                <w:rFonts w:ascii="Calibri" w:hAnsi="Calibri" w:cs="Calibri"/>
              </w:rPr>
              <w:t>14/02/19</w:t>
            </w:r>
          </w:p>
        </w:tc>
        <w:tc>
          <w:tcPr>
            <w:tcW w:w="1187" w:type="dxa"/>
          </w:tcPr>
          <w:p w14:paraId="54A3DFA7" w14:textId="77777777" w:rsidR="007B5C7D" w:rsidRPr="00843355" w:rsidRDefault="007B5C7D" w:rsidP="002D1116">
            <w:pPr>
              <w:tabs>
                <w:tab w:val="left" w:pos="3976"/>
              </w:tabs>
              <w:rPr>
                <w:rFonts w:ascii="Calibri" w:hAnsi="Calibri" w:cs="Calibri"/>
              </w:rPr>
            </w:pPr>
            <w:r w:rsidRPr="00843355">
              <w:rPr>
                <w:rFonts w:ascii="Calibri" w:hAnsi="Calibri" w:cs="Calibri"/>
              </w:rPr>
              <w:t>YB ZG</w:t>
            </w:r>
          </w:p>
        </w:tc>
        <w:tc>
          <w:tcPr>
            <w:tcW w:w="1371" w:type="dxa"/>
          </w:tcPr>
          <w:p w14:paraId="2DC7EA54" w14:textId="77777777" w:rsidR="007B5C7D" w:rsidRPr="00843355" w:rsidRDefault="007B5C7D" w:rsidP="002D1116">
            <w:pPr>
              <w:tabs>
                <w:tab w:val="left" w:pos="3976"/>
              </w:tabs>
              <w:rPr>
                <w:rFonts w:ascii="Calibri" w:hAnsi="Calibri" w:cs="Calibri"/>
              </w:rPr>
            </w:pPr>
            <w:r w:rsidRPr="00843355">
              <w:rPr>
                <w:rFonts w:ascii="Calibri" w:hAnsi="Calibri" w:cs="Calibri"/>
              </w:rPr>
              <w:t>Tidy</w:t>
            </w:r>
          </w:p>
        </w:tc>
      </w:tr>
      <w:tr w:rsidR="007B5C7D" w:rsidRPr="00733546" w14:paraId="6AC14A24" w14:textId="77777777" w:rsidTr="00543EB7">
        <w:tc>
          <w:tcPr>
            <w:tcW w:w="1074" w:type="dxa"/>
          </w:tcPr>
          <w:p w14:paraId="5935444A" w14:textId="77777777" w:rsidR="007B5C7D" w:rsidRPr="00843355" w:rsidRDefault="007B5C7D" w:rsidP="002D1116">
            <w:pPr>
              <w:tabs>
                <w:tab w:val="left" w:pos="3976"/>
              </w:tabs>
              <w:rPr>
                <w:rFonts w:ascii="Calibri" w:hAnsi="Calibri" w:cs="Calibri"/>
              </w:rPr>
            </w:pPr>
            <w:r w:rsidRPr="00843355">
              <w:rPr>
                <w:rFonts w:ascii="Calibri" w:hAnsi="Calibri" w:cs="Calibri"/>
              </w:rPr>
              <w:t>All</w:t>
            </w:r>
          </w:p>
        </w:tc>
        <w:tc>
          <w:tcPr>
            <w:tcW w:w="1278" w:type="dxa"/>
          </w:tcPr>
          <w:p w14:paraId="6B89BC06" w14:textId="77777777" w:rsidR="007B5C7D" w:rsidRPr="00843355" w:rsidRDefault="007B5C7D" w:rsidP="002D1116">
            <w:pPr>
              <w:tabs>
                <w:tab w:val="left" w:pos="3976"/>
              </w:tabs>
              <w:rPr>
                <w:rFonts w:ascii="Calibri" w:hAnsi="Calibri" w:cs="Calibri"/>
              </w:rPr>
            </w:pPr>
            <w:r w:rsidRPr="00843355">
              <w:rPr>
                <w:rFonts w:ascii="Calibri" w:hAnsi="Calibri" w:cs="Calibri"/>
              </w:rPr>
              <w:t>10/10/19</w:t>
            </w:r>
          </w:p>
        </w:tc>
        <w:tc>
          <w:tcPr>
            <w:tcW w:w="1187" w:type="dxa"/>
          </w:tcPr>
          <w:p w14:paraId="1DFF16A9" w14:textId="77777777" w:rsidR="007B5C7D" w:rsidRPr="00843355" w:rsidRDefault="007B5C7D" w:rsidP="002D1116">
            <w:pPr>
              <w:tabs>
                <w:tab w:val="left" w:pos="3976"/>
              </w:tabs>
              <w:rPr>
                <w:rFonts w:ascii="Calibri" w:hAnsi="Calibri" w:cs="Calibri"/>
              </w:rPr>
            </w:pPr>
            <w:r w:rsidRPr="00843355">
              <w:rPr>
                <w:rFonts w:ascii="Calibri" w:hAnsi="Calibri" w:cs="Calibri"/>
              </w:rPr>
              <w:t>ZG</w:t>
            </w:r>
          </w:p>
        </w:tc>
        <w:tc>
          <w:tcPr>
            <w:tcW w:w="1371" w:type="dxa"/>
          </w:tcPr>
          <w:p w14:paraId="5E151B33" w14:textId="77777777" w:rsidR="007B5C7D" w:rsidRPr="00843355" w:rsidRDefault="007B5C7D" w:rsidP="002D1116">
            <w:pPr>
              <w:tabs>
                <w:tab w:val="left" w:pos="3976"/>
              </w:tabs>
              <w:rPr>
                <w:rFonts w:ascii="Calibri" w:hAnsi="Calibri" w:cs="Calibri"/>
              </w:rPr>
            </w:pPr>
            <w:r w:rsidRPr="00843355">
              <w:rPr>
                <w:rFonts w:ascii="Calibri" w:hAnsi="Calibri" w:cs="Calibri"/>
              </w:rPr>
              <w:t xml:space="preserve">Tidy up </w:t>
            </w:r>
          </w:p>
        </w:tc>
      </w:tr>
      <w:tr w:rsidR="007B5C7D" w:rsidRPr="00733546" w14:paraId="71D8600C" w14:textId="77777777" w:rsidTr="00543EB7">
        <w:tc>
          <w:tcPr>
            <w:tcW w:w="1074" w:type="dxa"/>
          </w:tcPr>
          <w:p w14:paraId="14464662" w14:textId="77777777" w:rsidR="007B5C7D" w:rsidRPr="00843355" w:rsidRDefault="007B5C7D" w:rsidP="002D1116">
            <w:pPr>
              <w:tabs>
                <w:tab w:val="left" w:pos="3976"/>
              </w:tabs>
              <w:rPr>
                <w:rFonts w:ascii="Calibri" w:hAnsi="Calibri" w:cs="Calibri"/>
              </w:rPr>
            </w:pPr>
            <w:r>
              <w:rPr>
                <w:rFonts w:ascii="Calibri" w:hAnsi="Calibri" w:cs="Calibri"/>
              </w:rPr>
              <w:t>1.18</w:t>
            </w:r>
          </w:p>
        </w:tc>
        <w:tc>
          <w:tcPr>
            <w:tcW w:w="1278" w:type="dxa"/>
          </w:tcPr>
          <w:p w14:paraId="6706E861" w14:textId="77777777" w:rsidR="007B5C7D" w:rsidRPr="00843355" w:rsidRDefault="007B5C7D" w:rsidP="002D1116">
            <w:pPr>
              <w:tabs>
                <w:tab w:val="left" w:pos="3976"/>
              </w:tabs>
              <w:rPr>
                <w:rFonts w:ascii="Calibri" w:hAnsi="Calibri" w:cs="Calibri"/>
              </w:rPr>
            </w:pPr>
            <w:r>
              <w:rPr>
                <w:rFonts w:ascii="Calibri" w:hAnsi="Calibri" w:cs="Calibri"/>
              </w:rPr>
              <w:t>20/02/2020</w:t>
            </w:r>
          </w:p>
        </w:tc>
        <w:tc>
          <w:tcPr>
            <w:tcW w:w="1187" w:type="dxa"/>
          </w:tcPr>
          <w:p w14:paraId="0F0DB5B8" w14:textId="77777777" w:rsidR="007B5C7D" w:rsidRPr="00843355" w:rsidRDefault="007B5C7D" w:rsidP="002D1116">
            <w:pPr>
              <w:tabs>
                <w:tab w:val="left" w:pos="3976"/>
              </w:tabs>
              <w:rPr>
                <w:rFonts w:ascii="Calibri" w:hAnsi="Calibri" w:cs="Calibri"/>
              </w:rPr>
            </w:pPr>
            <w:r>
              <w:rPr>
                <w:rFonts w:ascii="Calibri" w:hAnsi="Calibri" w:cs="Calibri"/>
              </w:rPr>
              <w:t>MP</w:t>
            </w:r>
          </w:p>
        </w:tc>
        <w:tc>
          <w:tcPr>
            <w:tcW w:w="1371" w:type="dxa"/>
          </w:tcPr>
          <w:p w14:paraId="1C011D93" w14:textId="77777777" w:rsidR="007B5C7D" w:rsidRPr="00843355" w:rsidRDefault="007B5C7D" w:rsidP="002D1116">
            <w:pPr>
              <w:tabs>
                <w:tab w:val="left" w:pos="3976"/>
              </w:tabs>
              <w:rPr>
                <w:rFonts w:ascii="Calibri" w:hAnsi="Calibri" w:cs="Calibri"/>
              </w:rPr>
            </w:pPr>
            <w:r>
              <w:rPr>
                <w:rFonts w:ascii="Calibri" w:hAnsi="Calibri" w:cs="Calibri"/>
              </w:rPr>
              <w:t>Designated safeguarding officer updated</w:t>
            </w:r>
          </w:p>
        </w:tc>
      </w:tr>
      <w:tr w:rsidR="007B5C7D" w:rsidRPr="00733546" w14:paraId="3524ED89" w14:textId="77777777" w:rsidTr="00543EB7">
        <w:tc>
          <w:tcPr>
            <w:tcW w:w="1074" w:type="dxa"/>
          </w:tcPr>
          <w:p w14:paraId="14E9AFC9" w14:textId="77777777" w:rsidR="007B5C7D" w:rsidRPr="00843355" w:rsidRDefault="007B5C7D" w:rsidP="002D1116">
            <w:pPr>
              <w:tabs>
                <w:tab w:val="left" w:pos="3976"/>
              </w:tabs>
              <w:rPr>
                <w:rFonts w:ascii="Calibri" w:hAnsi="Calibri" w:cs="Calibri"/>
              </w:rPr>
            </w:pPr>
          </w:p>
        </w:tc>
        <w:tc>
          <w:tcPr>
            <w:tcW w:w="1278" w:type="dxa"/>
          </w:tcPr>
          <w:p w14:paraId="64097C92" w14:textId="2B4D6F83" w:rsidR="007B5C7D" w:rsidRPr="00843355" w:rsidRDefault="00D95380" w:rsidP="002D1116">
            <w:pPr>
              <w:tabs>
                <w:tab w:val="left" w:pos="3976"/>
              </w:tabs>
              <w:rPr>
                <w:rFonts w:ascii="Calibri" w:hAnsi="Calibri" w:cs="Calibri"/>
              </w:rPr>
            </w:pPr>
            <w:r>
              <w:rPr>
                <w:rFonts w:ascii="Calibri" w:hAnsi="Calibri" w:cs="Calibri"/>
              </w:rPr>
              <w:t>15/2/2</w:t>
            </w:r>
            <w:r w:rsidR="00115626">
              <w:rPr>
                <w:rFonts w:ascii="Calibri" w:hAnsi="Calibri" w:cs="Calibri"/>
              </w:rPr>
              <w:t>1</w:t>
            </w:r>
          </w:p>
        </w:tc>
        <w:tc>
          <w:tcPr>
            <w:tcW w:w="1187" w:type="dxa"/>
          </w:tcPr>
          <w:p w14:paraId="5AFCE2FA" w14:textId="05E80C0A" w:rsidR="007B5C7D" w:rsidRPr="00843355" w:rsidRDefault="00115626" w:rsidP="002D1116">
            <w:pPr>
              <w:tabs>
                <w:tab w:val="left" w:pos="3976"/>
              </w:tabs>
              <w:rPr>
                <w:rFonts w:ascii="Calibri" w:hAnsi="Calibri" w:cs="Calibri"/>
              </w:rPr>
            </w:pPr>
            <w:r>
              <w:rPr>
                <w:rFonts w:ascii="Calibri" w:hAnsi="Calibri" w:cs="Calibri"/>
              </w:rPr>
              <w:t>ZG</w:t>
            </w:r>
          </w:p>
        </w:tc>
        <w:tc>
          <w:tcPr>
            <w:tcW w:w="1371" w:type="dxa"/>
          </w:tcPr>
          <w:p w14:paraId="329C66EA" w14:textId="217A8F55" w:rsidR="007B5C7D" w:rsidRPr="00843355" w:rsidRDefault="00115626" w:rsidP="002D1116">
            <w:pPr>
              <w:tabs>
                <w:tab w:val="left" w:pos="3976"/>
              </w:tabs>
              <w:rPr>
                <w:rFonts w:ascii="Calibri" w:hAnsi="Calibri" w:cs="Calibri"/>
              </w:rPr>
            </w:pPr>
            <w:r>
              <w:rPr>
                <w:rFonts w:ascii="Calibri" w:hAnsi="Calibri" w:cs="Calibri"/>
              </w:rPr>
              <w:t xml:space="preserve">Updated </w:t>
            </w:r>
          </w:p>
        </w:tc>
      </w:tr>
      <w:tr w:rsidR="007B5C7D" w:rsidRPr="00733546" w14:paraId="3F823B07" w14:textId="77777777" w:rsidTr="00543EB7">
        <w:tc>
          <w:tcPr>
            <w:tcW w:w="1074" w:type="dxa"/>
          </w:tcPr>
          <w:p w14:paraId="64B96208" w14:textId="77777777" w:rsidR="007B5C7D" w:rsidRPr="00843355" w:rsidRDefault="007B5C7D" w:rsidP="002D1116">
            <w:pPr>
              <w:tabs>
                <w:tab w:val="left" w:pos="3976"/>
              </w:tabs>
              <w:rPr>
                <w:rFonts w:ascii="Calibri" w:hAnsi="Calibri" w:cs="Calibri"/>
              </w:rPr>
            </w:pPr>
          </w:p>
        </w:tc>
        <w:tc>
          <w:tcPr>
            <w:tcW w:w="1278" w:type="dxa"/>
          </w:tcPr>
          <w:p w14:paraId="36F2AEC3" w14:textId="770C19FA" w:rsidR="007B5C7D" w:rsidRPr="00843355" w:rsidRDefault="00115626" w:rsidP="002D1116">
            <w:pPr>
              <w:tabs>
                <w:tab w:val="left" w:pos="3976"/>
              </w:tabs>
              <w:rPr>
                <w:rFonts w:ascii="Calibri" w:hAnsi="Calibri" w:cs="Calibri"/>
              </w:rPr>
            </w:pPr>
            <w:r>
              <w:rPr>
                <w:rFonts w:ascii="Calibri" w:hAnsi="Calibri" w:cs="Calibri"/>
              </w:rPr>
              <w:t>17/2/22</w:t>
            </w:r>
          </w:p>
        </w:tc>
        <w:tc>
          <w:tcPr>
            <w:tcW w:w="1187" w:type="dxa"/>
          </w:tcPr>
          <w:p w14:paraId="17275139" w14:textId="734911CC" w:rsidR="007B5C7D" w:rsidRPr="00843355" w:rsidRDefault="00115626" w:rsidP="002D1116">
            <w:pPr>
              <w:tabs>
                <w:tab w:val="left" w:pos="3976"/>
              </w:tabs>
              <w:rPr>
                <w:rFonts w:ascii="Calibri" w:hAnsi="Calibri" w:cs="Calibri"/>
              </w:rPr>
            </w:pPr>
            <w:r>
              <w:rPr>
                <w:rFonts w:ascii="Calibri" w:hAnsi="Calibri" w:cs="Calibri"/>
              </w:rPr>
              <w:t>ZG</w:t>
            </w:r>
          </w:p>
        </w:tc>
        <w:tc>
          <w:tcPr>
            <w:tcW w:w="1371" w:type="dxa"/>
          </w:tcPr>
          <w:p w14:paraId="5A63BE23" w14:textId="2EBF1E2E" w:rsidR="007B5C7D" w:rsidRPr="00843355" w:rsidRDefault="00512269" w:rsidP="002D1116">
            <w:pPr>
              <w:tabs>
                <w:tab w:val="left" w:pos="3976"/>
              </w:tabs>
              <w:rPr>
                <w:rFonts w:ascii="Calibri" w:hAnsi="Calibri" w:cs="Calibri"/>
              </w:rPr>
            </w:pPr>
            <w:r>
              <w:rPr>
                <w:rFonts w:ascii="Calibri" w:hAnsi="Calibri" w:cs="Calibri"/>
              </w:rPr>
              <w:t xml:space="preserve">Updated </w:t>
            </w:r>
            <w:r w:rsidR="00876CD0">
              <w:rPr>
                <w:rFonts w:ascii="Calibri" w:hAnsi="Calibri" w:cs="Calibri"/>
              </w:rPr>
              <w:t>with Prevent training info</w:t>
            </w:r>
          </w:p>
        </w:tc>
      </w:tr>
      <w:tr w:rsidR="007B5C7D" w:rsidRPr="00733546" w14:paraId="0503F35A" w14:textId="77777777" w:rsidTr="00543EB7">
        <w:tc>
          <w:tcPr>
            <w:tcW w:w="1074" w:type="dxa"/>
          </w:tcPr>
          <w:p w14:paraId="021F4E1E" w14:textId="59E484A9" w:rsidR="007B5C7D" w:rsidRPr="00AE69AA" w:rsidRDefault="00892DA9" w:rsidP="002D1116">
            <w:pPr>
              <w:tabs>
                <w:tab w:val="left" w:pos="3976"/>
              </w:tabs>
              <w:rPr>
                <w:rFonts w:ascii="Calibri" w:hAnsi="Calibri" w:cs="Calibri"/>
                <w:b/>
                <w:bCs/>
              </w:rPr>
            </w:pPr>
            <w:r w:rsidRPr="00AE69AA">
              <w:rPr>
                <w:rFonts w:ascii="Calibri" w:hAnsi="Calibri" w:cs="Calibri"/>
                <w:b/>
                <w:bCs/>
              </w:rPr>
              <w:t xml:space="preserve">Reviewed annually if no updates </w:t>
            </w:r>
            <w:r w:rsidR="00D574FB" w:rsidRPr="00AE69AA">
              <w:rPr>
                <w:rFonts w:ascii="Calibri" w:hAnsi="Calibri" w:cs="Calibri"/>
                <w:b/>
                <w:bCs/>
              </w:rPr>
              <w:t xml:space="preserve">before </w:t>
            </w:r>
          </w:p>
        </w:tc>
        <w:tc>
          <w:tcPr>
            <w:tcW w:w="1278" w:type="dxa"/>
          </w:tcPr>
          <w:p w14:paraId="06048ED2" w14:textId="201C07E7" w:rsidR="007B5C7D" w:rsidRPr="00AE69AA" w:rsidRDefault="00D574FB" w:rsidP="002D1116">
            <w:pPr>
              <w:tabs>
                <w:tab w:val="left" w:pos="3976"/>
              </w:tabs>
              <w:rPr>
                <w:rFonts w:ascii="Calibri" w:hAnsi="Calibri" w:cs="Calibri"/>
                <w:b/>
                <w:bCs/>
              </w:rPr>
            </w:pPr>
            <w:r w:rsidRPr="00AE69AA">
              <w:rPr>
                <w:rFonts w:ascii="Calibri" w:hAnsi="Calibri" w:cs="Calibri"/>
                <w:b/>
                <w:bCs/>
              </w:rPr>
              <w:t xml:space="preserve">Next </w:t>
            </w:r>
            <w:r w:rsidR="0019723E" w:rsidRPr="00AE69AA">
              <w:rPr>
                <w:rFonts w:ascii="Calibri" w:hAnsi="Calibri" w:cs="Calibri"/>
                <w:b/>
                <w:bCs/>
              </w:rPr>
              <w:t>date for review</w:t>
            </w:r>
          </w:p>
        </w:tc>
        <w:tc>
          <w:tcPr>
            <w:tcW w:w="1187" w:type="dxa"/>
          </w:tcPr>
          <w:p w14:paraId="77E7D16D" w14:textId="5F64E06B" w:rsidR="007B5C7D" w:rsidRPr="00AE69AA" w:rsidRDefault="00554E3C" w:rsidP="002D1116">
            <w:pPr>
              <w:tabs>
                <w:tab w:val="left" w:pos="3976"/>
              </w:tabs>
              <w:rPr>
                <w:rFonts w:ascii="Calibri" w:hAnsi="Calibri" w:cs="Calibri"/>
                <w:b/>
                <w:bCs/>
              </w:rPr>
            </w:pPr>
            <w:r w:rsidRPr="00AE69AA">
              <w:rPr>
                <w:rFonts w:ascii="Calibri" w:hAnsi="Calibri" w:cs="Calibri"/>
                <w:b/>
                <w:bCs/>
              </w:rPr>
              <w:t>Feb 20</w:t>
            </w:r>
            <w:r w:rsidR="00512269">
              <w:rPr>
                <w:rFonts w:ascii="Calibri" w:hAnsi="Calibri" w:cs="Calibri"/>
                <w:b/>
                <w:bCs/>
              </w:rPr>
              <w:t>23</w:t>
            </w:r>
          </w:p>
        </w:tc>
        <w:tc>
          <w:tcPr>
            <w:tcW w:w="1371" w:type="dxa"/>
          </w:tcPr>
          <w:p w14:paraId="50495DAC" w14:textId="77777777" w:rsidR="007B5C7D" w:rsidRPr="00AE69AA" w:rsidRDefault="00554E3C" w:rsidP="002D1116">
            <w:pPr>
              <w:tabs>
                <w:tab w:val="left" w:pos="3976"/>
              </w:tabs>
              <w:rPr>
                <w:rFonts w:ascii="Calibri" w:hAnsi="Calibri" w:cs="Calibri"/>
                <w:b/>
                <w:bCs/>
              </w:rPr>
            </w:pPr>
            <w:r w:rsidRPr="00AE69AA">
              <w:rPr>
                <w:rFonts w:ascii="Calibri" w:hAnsi="Calibri" w:cs="Calibri"/>
                <w:b/>
                <w:bCs/>
              </w:rPr>
              <w:t xml:space="preserve">By who: </w:t>
            </w:r>
          </w:p>
          <w:p w14:paraId="135A29D8" w14:textId="69C2CC9A" w:rsidR="00554E3C" w:rsidRPr="00AE69AA" w:rsidRDefault="00AE69AA" w:rsidP="002D1116">
            <w:pPr>
              <w:tabs>
                <w:tab w:val="left" w:pos="3976"/>
              </w:tabs>
              <w:rPr>
                <w:rFonts w:ascii="Calibri" w:hAnsi="Calibri" w:cs="Calibri"/>
                <w:b/>
                <w:bCs/>
              </w:rPr>
            </w:pPr>
            <w:r w:rsidRPr="00AE69AA">
              <w:rPr>
                <w:rFonts w:ascii="Calibri" w:hAnsi="Calibri" w:cs="Calibri"/>
                <w:b/>
                <w:bCs/>
              </w:rPr>
              <w:t>ZG</w:t>
            </w:r>
          </w:p>
        </w:tc>
      </w:tr>
    </w:tbl>
    <w:p w14:paraId="1B304382" w14:textId="77777777" w:rsidR="00177316" w:rsidRPr="00733546" w:rsidRDefault="00177316" w:rsidP="00733546">
      <w:pPr>
        <w:spacing w:after="0" w:line="240" w:lineRule="auto"/>
        <w:rPr>
          <w:rFonts w:ascii="Calibri" w:hAnsi="Calibri" w:cs="Calibri"/>
        </w:rPr>
      </w:pPr>
    </w:p>
    <w:p w14:paraId="57DDC024" w14:textId="77777777" w:rsidR="007C32D7" w:rsidRDefault="007C32D7" w:rsidP="00733546">
      <w:pPr>
        <w:rPr>
          <w:b/>
          <w:bCs/>
          <w:noProof/>
        </w:rPr>
      </w:pPr>
      <w:bookmarkStart w:id="0" w:name="_Toc1042683"/>
    </w:p>
    <w:p w14:paraId="1CA08F5C" w14:textId="63E980D9" w:rsidR="007C32D7" w:rsidRDefault="007C32D7" w:rsidP="00733546">
      <w:pPr>
        <w:rPr>
          <w:b/>
          <w:bCs/>
          <w:noProof/>
        </w:rPr>
      </w:pPr>
      <w:r>
        <w:rPr>
          <w:b/>
          <w:bCs/>
          <w:noProof/>
        </w:rPr>
        <w:drawing>
          <wp:inline distT="0" distB="0" distL="0" distR="0" wp14:anchorId="1000E0D9" wp14:editId="0CBE9A69">
            <wp:extent cx="1538103" cy="601538"/>
            <wp:effectExtent l="0" t="0" r="4947" b="806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538103" cy="601538"/>
                    </a:xfrm>
                    <a:prstGeom prst="rect">
                      <a:avLst/>
                    </a:prstGeom>
                    <a:noFill/>
                    <a:ln>
                      <a:noFill/>
                      <a:prstDash/>
                    </a:ln>
                  </pic:spPr>
                </pic:pic>
              </a:graphicData>
            </a:graphic>
          </wp:inline>
        </w:drawing>
      </w:r>
    </w:p>
    <w:p w14:paraId="1AB66FBE" w14:textId="77777777" w:rsidR="007C32D7" w:rsidRDefault="007C32D7" w:rsidP="00733546">
      <w:pPr>
        <w:rPr>
          <w:b/>
          <w:bCs/>
          <w:noProof/>
        </w:rPr>
      </w:pPr>
    </w:p>
    <w:p w14:paraId="1B304384" w14:textId="56A889AC" w:rsidR="00733546" w:rsidRPr="007C32D7" w:rsidRDefault="007C32D7" w:rsidP="00733546">
      <w:pPr>
        <w:rPr>
          <w:noProof/>
        </w:rPr>
      </w:pPr>
      <w:r w:rsidRPr="007C32D7">
        <w:rPr>
          <w:noProof/>
        </w:rPr>
        <w:t xml:space="preserve">Miss Zoe J.Gee – Director </w:t>
      </w:r>
      <w:r w:rsidR="00733546" w:rsidRPr="007C32D7">
        <w:br w:type="page"/>
      </w:r>
    </w:p>
    <w:p w14:paraId="1B304385" w14:textId="77777777" w:rsidR="00694037" w:rsidRPr="00512269" w:rsidRDefault="004D3400" w:rsidP="00733546">
      <w:pPr>
        <w:pStyle w:val="Heading1"/>
        <w:spacing w:before="0" w:line="240" w:lineRule="auto"/>
        <w:rPr>
          <w:rFonts w:asciiTheme="minorHAnsi" w:hAnsiTheme="minorHAnsi" w:cstheme="minorHAnsi"/>
          <w:sz w:val="22"/>
          <w:szCs w:val="22"/>
        </w:rPr>
      </w:pPr>
      <w:r w:rsidRPr="00512269">
        <w:rPr>
          <w:rFonts w:asciiTheme="minorHAnsi" w:hAnsiTheme="minorHAnsi" w:cstheme="minorHAnsi"/>
          <w:sz w:val="22"/>
          <w:szCs w:val="22"/>
        </w:rPr>
        <w:lastRenderedPageBreak/>
        <w:t>Introduction</w:t>
      </w:r>
      <w:bookmarkEnd w:id="0"/>
      <w:r w:rsidRPr="00512269">
        <w:rPr>
          <w:rFonts w:asciiTheme="minorHAnsi" w:hAnsiTheme="minorHAnsi" w:cstheme="minorHAnsi"/>
          <w:sz w:val="22"/>
          <w:szCs w:val="22"/>
        </w:rPr>
        <w:t xml:space="preserve"> </w:t>
      </w:r>
      <w:r w:rsidRPr="00512269">
        <w:rPr>
          <w:rFonts w:asciiTheme="minorHAnsi" w:hAnsiTheme="minorHAnsi" w:cstheme="minorHAnsi"/>
          <w:sz w:val="22"/>
          <w:szCs w:val="22"/>
        </w:rPr>
        <w:br/>
      </w:r>
    </w:p>
    <w:p w14:paraId="1B304386" w14:textId="77777777" w:rsidR="004D3400" w:rsidRPr="00512269" w:rsidRDefault="004D3400" w:rsidP="00733546">
      <w:pPr>
        <w:pStyle w:val="ListParagraph"/>
        <w:numPr>
          <w:ilvl w:val="1"/>
          <w:numId w:val="4"/>
        </w:numPr>
        <w:spacing w:after="0" w:line="240" w:lineRule="auto"/>
        <w:ind w:left="0" w:firstLine="0"/>
        <w:rPr>
          <w:rFonts w:cstheme="minorHAnsi"/>
        </w:rPr>
      </w:pPr>
      <w:r w:rsidRPr="00512269">
        <w:rPr>
          <w:rFonts w:cstheme="minorHAnsi"/>
        </w:rPr>
        <w:t xml:space="preserve">Dentrain Professionals Ltd is committed to providing a secure environment for learners, where children feel safe and are kept safe. All adults at Dentrain Professionals Ltd recognise that safeguarding is everyone’s responsibility irrespective of the role they undertake or whether their role has direct contact or responsibility for children or not. </w:t>
      </w:r>
      <w:r w:rsidRPr="00512269">
        <w:rPr>
          <w:rFonts w:cstheme="minorHAnsi"/>
        </w:rPr>
        <w:br/>
      </w:r>
    </w:p>
    <w:p w14:paraId="1B304387" w14:textId="77777777" w:rsidR="004D3400" w:rsidRPr="00512269" w:rsidRDefault="00206970" w:rsidP="00733546">
      <w:pPr>
        <w:pStyle w:val="ListParagraph"/>
        <w:numPr>
          <w:ilvl w:val="1"/>
          <w:numId w:val="4"/>
        </w:numPr>
        <w:spacing w:after="0" w:line="240" w:lineRule="auto"/>
        <w:ind w:left="0" w:firstLine="0"/>
        <w:rPr>
          <w:rFonts w:cstheme="minorHAnsi"/>
          <w:b/>
        </w:rPr>
      </w:pPr>
      <w:r w:rsidRPr="00512269">
        <w:rPr>
          <w:rFonts w:cstheme="minorHAnsi"/>
        </w:rPr>
        <w:t>In adhering to this policy, and the procedures therein, staff and visitors will contribute to Dentrain Professionals Ltd delivery of the outcomes to all children, as set out in s10 (2) of the Children Act 2001. This Preventing Extremism and Radicalisation Safeguarding Policy is one element within our overall Company arrangements to safeguard and promote the welfare of all children in line with our statutory duties set out at S157 of the Education Act 2002.</w:t>
      </w:r>
      <w:r w:rsidRPr="00512269">
        <w:rPr>
          <w:rFonts w:cstheme="minorHAnsi"/>
          <w:b/>
        </w:rPr>
        <w:t xml:space="preserve"> </w:t>
      </w:r>
    </w:p>
    <w:p w14:paraId="1B304388" w14:textId="77777777" w:rsidR="00733546" w:rsidRPr="00512269" w:rsidRDefault="00733546" w:rsidP="00733546">
      <w:pPr>
        <w:pStyle w:val="ListParagraph"/>
        <w:spacing w:after="0" w:line="240" w:lineRule="auto"/>
        <w:ind w:left="0"/>
        <w:rPr>
          <w:rFonts w:cstheme="minorHAnsi"/>
          <w:b/>
        </w:rPr>
      </w:pPr>
    </w:p>
    <w:p w14:paraId="1B304389" w14:textId="77777777" w:rsidR="00733546" w:rsidRPr="00512269" w:rsidRDefault="00733546" w:rsidP="00733546">
      <w:pPr>
        <w:pStyle w:val="ListParagraph"/>
        <w:spacing w:after="0" w:line="240" w:lineRule="auto"/>
        <w:ind w:left="0"/>
        <w:rPr>
          <w:rFonts w:cstheme="minorHAnsi"/>
          <w:b/>
        </w:rPr>
      </w:pPr>
    </w:p>
    <w:p w14:paraId="1B30438A" w14:textId="77777777" w:rsidR="00206970" w:rsidRPr="00512269" w:rsidRDefault="00206970" w:rsidP="00733546">
      <w:pPr>
        <w:pStyle w:val="Heading1"/>
        <w:spacing w:before="0" w:line="240" w:lineRule="auto"/>
        <w:rPr>
          <w:rFonts w:asciiTheme="minorHAnsi" w:hAnsiTheme="minorHAnsi" w:cstheme="minorHAnsi"/>
          <w:sz w:val="22"/>
          <w:szCs w:val="22"/>
        </w:rPr>
      </w:pPr>
      <w:bookmarkStart w:id="1" w:name="_Toc1042684"/>
      <w:r w:rsidRPr="00512269">
        <w:rPr>
          <w:rFonts w:asciiTheme="minorHAnsi" w:hAnsiTheme="minorHAnsi" w:cstheme="minorHAnsi"/>
          <w:sz w:val="22"/>
          <w:szCs w:val="22"/>
        </w:rPr>
        <w:t>Company Ethos and Practice</w:t>
      </w:r>
      <w:bookmarkEnd w:id="1"/>
      <w:r w:rsidRPr="00512269">
        <w:rPr>
          <w:rFonts w:asciiTheme="minorHAnsi" w:hAnsiTheme="minorHAnsi" w:cstheme="minorHAnsi"/>
          <w:sz w:val="22"/>
          <w:szCs w:val="22"/>
        </w:rPr>
        <w:br/>
      </w:r>
    </w:p>
    <w:p w14:paraId="1B30438B" w14:textId="77777777" w:rsidR="00206970" w:rsidRPr="00512269" w:rsidRDefault="00206970" w:rsidP="00733546">
      <w:pPr>
        <w:pStyle w:val="ListParagraph"/>
        <w:numPr>
          <w:ilvl w:val="1"/>
          <w:numId w:val="4"/>
        </w:numPr>
        <w:spacing w:after="0" w:line="240" w:lineRule="auto"/>
        <w:ind w:left="0" w:firstLine="0"/>
        <w:rPr>
          <w:rFonts w:cstheme="minorHAnsi"/>
        </w:rPr>
      </w:pPr>
      <w:r w:rsidRPr="00512269">
        <w:rPr>
          <w:rFonts w:cstheme="minorHAnsi"/>
        </w:rPr>
        <w:t xml:space="preserve">When operating this Policy, Dentrain Professionals Ltd uses the following accepted Governmental definition of extremism which is: </w:t>
      </w:r>
      <w:r w:rsidRPr="00512269">
        <w:rPr>
          <w:rFonts w:cstheme="minorHAnsi"/>
        </w:rPr>
        <w:br/>
      </w:r>
      <w:r w:rsidRPr="00512269">
        <w:rPr>
          <w:rFonts w:cstheme="minorHAnsi"/>
        </w:rPr>
        <w:br/>
      </w:r>
      <w:r w:rsidRPr="00512269">
        <w:rPr>
          <w:rFonts w:cstheme="minorHAnsi"/>
          <w:i/>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r w:rsidRPr="00512269">
        <w:rPr>
          <w:rFonts w:cstheme="minorHAnsi"/>
        </w:rPr>
        <w:t xml:space="preserve"> </w:t>
      </w:r>
      <w:r w:rsidRPr="00512269">
        <w:rPr>
          <w:rFonts w:cstheme="minorHAnsi"/>
        </w:rPr>
        <w:br/>
      </w:r>
    </w:p>
    <w:p w14:paraId="1B30438C" w14:textId="77777777" w:rsidR="00206970" w:rsidRPr="00512269" w:rsidRDefault="00206970" w:rsidP="00733546">
      <w:pPr>
        <w:pStyle w:val="ListParagraph"/>
        <w:numPr>
          <w:ilvl w:val="1"/>
          <w:numId w:val="4"/>
        </w:numPr>
        <w:spacing w:after="0" w:line="240" w:lineRule="auto"/>
        <w:ind w:left="0" w:firstLine="0"/>
        <w:rPr>
          <w:rFonts w:cstheme="minorHAnsi"/>
          <w:b/>
        </w:rPr>
      </w:pPr>
      <w:r w:rsidRPr="00512269">
        <w:rPr>
          <w:rFonts w:cstheme="minorHAnsi"/>
        </w:rPr>
        <w:t>There is no place for extremist views of any kind in our Company, whether from internal sources such as learners, staff or managers or external sources from within Dentrain Professionals Ltd community, external agencies or individuals.</w:t>
      </w:r>
      <w:r w:rsidRPr="00512269">
        <w:rPr>
          <w:rFonts w:cstheme="minorHAnsi"/>
        </w:rPr>
        <w:br/>
      </w:r>
    </w:p>
    <w:p w14:paraId="1B30438D" w14:textId="77777777" w:rsidR="00206970" w:rsidRPr="00512269" w:rsidRDefault="00206970" w:rsidP="00733546">
      <w:pPr>
        <w:pStyle w:val="ListParagraph"/>
        <w:numPr>
          <w:ilvl w:val="1"/>
          <w:numId w:val="4"/>
        </w:numPr>
        <w:spacing w:after="0" w:line="240" w:lineRule="auto"/>
        <w:ind w:left="0" w:firstLine="0"/>
        <w:rPr>
          <w:rFonts w:cstheme="minorHAnsi"/>
          <w:b/>
        </w:rPr>
      </w:pPr>
      <w:r w:rsidRPr="00512269">
        <w:rPr>
          <w:rFonts w:cstheme="minorHAnsi"/>
        </w:rPr>
        <w:t xml:space="preserve">As a company we recognise that extremism and exposure to extremist materials and influences can lead to poor outcomes for learners and also impact on our reputation and so should be addressed as a safeguarding concern as set out in this Policy. We also recognise that if we fail to challenge extremist views we are failing to protect our learners and staff. Extremists of all persuasions aim to develop destructive relationships between different communities by promoting </w:t>
      </w:r>
      <w:r w:rsidR="002B41EE" w:rsidRPr="00512269">
        <w:rPr>
          <w:rFonts w:cstheme="minorHAnsi"/>
        </w:rPr>
        <w:t>division</w:t>
      </w:r>
      <w:r w:rsidRPr="00512269">
        <w:rPr>
          <w:rFonts w:cstheme="minorHAnsi"/>
        </w:rPr>
        <w:t>, fear and mistrust</w:t>
      </w:r>
      <w:r w:rsidR="002B41EE" w:rsidRPr="00512269">
        <w:rPr>
          <w:rFonts w:cstheme="minorHAnsi"/>
        </w:rPr>
        <w:t xml:space="preserve"> others based on ignorance or prejudice and thereby limiting the life chances of staff and learners. </w:t>
      </w:r>
      <w:r w:rsidR="002B41EE" w:rsidRPr="00512269">
        <w:rPr>
          <w:rFonts w:cstheme="minorHAnsi"/>
        </w:rPr>
        <w:br/>
      </w:r>
    </w:p>
    <w:p w14:paraId="1B30438E" w14:textId="77777777" w:rsidR="002B41EE" w:rsidRPr="00512269" w:rsidRDefault="002B41EE" w:rsidP="00733546">
      <w:pPr>
        <w:pStyle w:val="ListParagraph"/>
        <w:numPr>
          <w:ilvl w:val="1"/>
          <w:numId w:val="4"/>
        </w:numPr>
        <w:spacing w:after="0" w:line="240" w:lineRule="auto"/>
        <w:ind w:left="0" w:firstLine="0"/>
        <w:rPr>
          <w:rFonts w:cstheme="minorHAnsi"/>
          <w:b/>
        </w:rPr>
      </w:pPr>
      <w:r w:rsidRPr="00512269">
        <w:rPr>
          <w:rFonts w:cstheme="minorHAnsi"/>
        </w:rPr>
        <w:t>We are aware that young people and adults can be exposed extremist influences or prejudiced views from an early age which emanate from a variety of sources and media, including via the internet, and at time learners may themselves reflect or display views that may be discriminatory, prejudiced or extremist, including using derogatory language. Any prejudice, discrimination or extremist views, including derogatory language, displayed by learners, employers or staff will always be challenged and where appropriate dealt with in line with our Company Code of Conduct.</w:t>
      </w:r>
      <w:r w:rsidRPr="00512269">
        <w:rPr>
          <w:rFonts w:cstheme="minorHAnsi"/>
        </w:rPr>
        <w:br/>
      </w:r>
    </w:p>
    <w:p w14:paraId="1B30438F" w14:textId="77777777" w:rsidR="002B41EE" w:rsidRPr="00512269" w:rsidRDefault="002B41EE" w:rsidP="00733546">
      <w:pPr>
        <w:pStyle w:val="ListParagraph"/>
        <w:numPr>
          <w:ilvl w:val="1"/>
          <w:numId w:val="4"/>
        </w:numPr>
        <w:spacing w:after="0" w:line="240" w:lineRule="auto"/>
        <w:ind w:left="0" w:firstLine="0"/>
        <w:rPr>
          <w:rFonts w:cstheme="minorHAnsi"/>
        </w:rPr>
      </w:pPr>
      <w:r w:rsidRPr="00512269">
        <w:rPr>
          <w:rFonts w:cstheme="minorHAnsi"/>
        </w:rPr>
        <w:t xml:space="preserve">Where there is misconduct by an assessor or member of staff the company will suspend said individual(s) from all duties that involve interactions with learners and employers and will carry out a full investigation. If any claims are sustained then the member of staff will be dismissed and this matter will be handed over to the Police. </w:t>
      </w:r>
      <w:r w:rsidRPr="00512269">
        <w:rPr>
          <w:rFonts w:cstheme="minorHAnsi"/>
        </w:rPr>
        <w:br/>
      </w:r>
    </w:p>
    <w:p w14:paraId="1B304390" w14:textId="77777777" w:rsidR="002B41EE" w:rsidRPr="00512269" w:rsidRDefault="002B41EE" w:rsidP="00733546">
      <w:pPr>
        <w:pStyle w:val="ListParagraph"/>
        <w:numPr>
          <w:ilvl w:val="1"/>
          <w:numId w:val="4"/>
        </w:numPr>
        <w:spacing w:after="0" w:line="240" w:lineRule="auto"/>
        <w:ind w:left="0" w:firstLine="0"/>
        <w:rPr>
          <w:rFonts w:cstheme="minorHAnsi"/>
        </w:rPr>
      </w:pPr>
      <w:r w:rsidRPr="00512269">
        <w:rPr>
          <w:rFonts w:cstheme="minorHAnsi"/>
        </w:rPr>
        <w:t>As part of wider safeguarding responsibilities Company staff will be alert to:</w:t>
      </w:r>
      <w:r w:rsidRPr="00512269">
        <w:rPr>
          <w:rFonts w:cstheme="minorHAnsi"/>
        </w:rPr>
        <w:br/>
      </w:r>
      <w:r w:rsidRPr="00512269">
        <w:rPr>
          <w:rFonts w:cstheme="minorHAnsi"/>
        </w:rPr>
        <w:br/>
        <w:t xml:space="preserve">- Learners of their exposure to the </w:t>
      </w:r>
      <w:r w:rsidR="00C80F23" w:rsidRPr="00512269">
        <w:rPr>
          <w:rFonts w:cstheme="minorHAnsi"/>
        </w:rPr>
        <w:t>extremist</w:t>
      </w:r>
      <w:r w:rsidRPr="00512269">
        <w:rPr>
          <w:rFonts w:cstheme="minorHAnsi"/>
        </w:rPr>
        <w:t xml:space="preserve"> actions, views or materials of others outside of </w:t>
      </w:r>
      <w:r w:rsidR="00C80F23" w:rsidRPr="00512269">
        <w:rPr>
          <w:rFonts w:cstheme="minorHAnsi"/>
        </w:rPr>
        <w:lastRenderedPageBreak/>
        <w:t>Company</w:t>
      </w:r>
      <w:r w:rsidRPr="00512269">
        <w:rPr>
          <w:rFonts w:cstheme="minorHAnsi"/>
        </w:rPr>
        <w:t xml:space="preserve">, such as in their homes or community groups, </w:t>
      </w:r>
      <w:r w:rsidR="00C80F23" w:rsidRPr="00512269">
        <w:rPr>
          <w:rFonts w:cstheme="minorHAnsi"/>
        </w:rPr>
        <w:t>especially</w:t>
      </w:r>
      <w:r w:rsidRPr="00512269">
        <w:rPr>
          <w:rFonts w:cstheme="minorHAnsi"/>
        </w:rPr>
        <w:t xml:space="preserve"> where learners have not actively sought out these. </w:t>
      </w:r>
      <w:r w:rsidRPr="00512269">
        <w:rPr>
          <w:rFonts w:cstheme="minorHAnsi"/>
        </w:rPr>
        <w:br/>
      </w:r>
      <w:r w:rsidRPr="00512269">
        <w:rPr>
          <w:rFonts w:cstheme="minorHAnsi"/>
        </w:rPr>
        <w:br/>
        <w:t>- Mis</w:t>
      </w:r>
      <w:r w:rsidR="00331E0F" w:rsidRPr="00512269">
        <w:rPr>
          <w:rFonts w:cstheme="minorHAnsi"/>
        </w:rPr>
        <w:t>sed</w:t>
      </w:r>
      <w:r w:rsidRPr="00512269">
        <w:rPr>
          <w:rFonts w:cstheme="minorHAnsi"/>
        </w:rPr>
        <w:t xml:space="preserve"> messages or images.</w:t>
      </w:r>
      <w:r w:rsidRPr="00512269">
        <w:rPr>
          <w:rFonts w:cstheme="minorHAnsi"/>
        </w:rPr>
        <w:br/>
      </w:r>
      <w:r w:rsidRPr="00512269">
        <w:rPr>
          <w:rFonts w:cstheme="minorHAnsi"/>
        </w:rPr>
        <w:br/>
        <w:t>- Learners accessing extremist material online, including through social networking sites.</w:t>
      </w:r>
      <w:r w:rsidRPr="00512269">
        <w:rPr>
          <w:rFonts w:cstheme="minorHAnsi"/>
        </w:rPr>
        <w:br/>
      </w:r>
      <w:r w:rsidRPr="00512269">
        <w:rPr>
          <w:rFonts w:cstheme="minorHAnsi"/>
        </w:rPr>
        <w:br/>
        <w:t>- Learners voicing opinions drawn from extremist ideologies</w:t>
      </w:r>
      <w:r w:rsidR="00C80F23" w:rsidRPr="00512269">
        <w:rPr>
          <w:rFonts w:cstheme="minorHAnsi"/>
        </w:rPr>
        <w:t xml:space="preserve"> and narratives violence policy, views based on, but not exclusive to, gender, disability, homophobia, race, colour or culture. </w:t>
      </w:r>
      <w:r w:rsidR="00C80F23" w:rsidRPr="00512269">
        <w:rPr>
          <w:rFonts w:cstheme="minorHAnsi"/>
        </w:rPr>
        <w:br/>
      </w:r>
      <w:r w:rsidR="00C80F23" w:rsidRPr="00512269">
        <w:rPr>
          <w:rFonts w:cstheme="minorHAnsi"/>
        </w:rPr>
        <w:br/>
        <w:t>- Others: Western or Anti British views</w:t>
      </w:r>
      <w:r w:rsidR="00C80F23" w:rsidRPr="00512269">
        <w:rPr>
          <w:rFonts w:cstheme="minorHAnsi"/>
        </w:rPr>
        <w:br/>
      </w:r>
    </w:p>
    <w:p w14:paraId="1B304391" w14:textId="77777777" w:rsidR="00C80F23" w:rsidRPr="00512269" w:rsidRDefault="00C80F23" w:rsidP="00733546">
      <w:pPr>
        <w:pStyle w:val="ListParagraph"/>
        <w:numPr>
          <w:ilvl w:val="1"/>
          <w:numId w:val="4"/>
        </w:numPr>
        <w:spacing w:after="0" w:line="240" w:lineRule="auto"/>
        <w:ind w:left="0" w:firstLine="0"/>
        <w:rPr>
          <w:rFonts w:cstheme="minorHAnsi"/>
        </w:rPr>
      </w:pPr>
      <w:r w:rsidRPr="00512269">
        <w:rPr>
          <w:rFonts w:cstheme="minorHAnsi"/>
        </w:rPr>
        <w:t xml:space="preserve">All concerns should be reported immediately to Dentrain Designated Senior Safeguarding Person or your line manager. </w:t>
      </w:r>
      <w:r w:rsidRPr="00512269">
        <w:rPr>
          <w:rFonts w:cstheme="minorHAnsi"/>
        </w:rPr>
        <w:br/>
      </w:r>
    </w:p>
    <w:p w14:paraId="1B304392" w14:textId="77777777" w:rsidR="00C80F23" w:rsidRPr="00512269" w:rsidRDefault="00C80F23" w:rsidP="00733546">
      <w:pPr>
        <w:pStyle w:val="ListParagraph"/>
        <w:numPr>
          <w:ilvl w:val="1"/>
          <w:numId w:val="4"/>
        </w:numPr>
        <w:spacing w:after="0" w:line="240" w:lineRule="auto"/>
        <w:ind w:left="0" w:firstLine="0"/>
        <w:rPr>
          <w:rFonts w:cstheme="minorHAnsi"/>
        </w:rPr>
      </w:pPr>
      <w:r w:rsidRPr="00512269">
        <w:rPr>
          <w:rFonts w:cstheme="minorHAnsi"/>
        </w:rPr>
        <w:t>Our company will closely follow any locally agreed procedure as set out by the Local Authority and/or the Safeguarding Children Board’s agreed processes and criteria for safeguarding individuals vulnerable to extremism and radicalisation. Or alternatively we will seek help and assistance from the Police.</w:t>
      </w:r>
      <w:r w:rsidRPr="00512269">
        <w:rPr>
          <w:rFonts w:cstheme="minorHAnsi"/>
        </w:rPr>
        <w:br/>
      </w:r>
    </w:p>
    <w:p w14:paraId="1B304393" w14:textId="77777777" w:rsidR="00733546" w:rsidRPr="00512269" w:rsidRDefault="00733546" w:rsidP="00733546">
      <w:pPr>
        <w:pStyle w:val="ListParagraph"/>
        <w:spacing w:after="0" w:line="240" w:lineRule="auto"/>
        <w:ind w:left="0"/>
        <w:rPr>
          <w:rFonts w:cstheme="minorHAnsi"/>
        </w:rPr>
      </w:pPr>
    </w:p>
    <w:p w14:paraId="1B304394" w14:textId="77777777" w:rsidR="00C80F23" w:rsidRPr="00512269" w:rsidRDefault="00C80F23" w:rsidP="00733546">
      <w:pPr>
        <w:pStyle w:val="Heading1"/>
        <w:spacing w:before="0" w:line="240" w:lineRule="auto"/>
        <w:rPr>
          <w:rFonts w:asciiTheme="minorHAnsi" w:hAnsiTheme="minorHAnsi" w:cstheme="minorHAnsi"/>
          <w:sz w:val="22"/>
          <w:szCs w:val="22"/>
        </w:rPr>
      </w:pPr>
      <w:bookmarkStart w:id="2" w:name="_Toc1042685"/>
      <w:r w:rsidRPr="00512269">
        <w:rPr>
          <w:rFonts w:asciiTheme="minorHAnsi" w:hAnsiTheme="minorHAnsi" w:cstheme="minorHAnsi"/>
          <w:sz w:val="22"/>
          <w:szCs w:val="22"/>
        </w:rPr>
        <w:t>Teaching Approaches</w:t>
      </w:r>
      <w:bookmarkEnd w:id="2"/>
      <w:r w:rsidRPr="00512269">
        <w:rPr>
          <w:rFonts w:asciiTheme="minorHAnsi" w:hAnsiTheme="minorHAnsi" w:cstheme="minorHAnsi"/>
          <w:sz w:val="22"/>
          <w:szCs w:val="22"/>
        </w:rPr>
        <w:br/>
      </w:r>
    </w:p>
    <w:p w14:paraId="1B304395" w14:textId="77777777" w:rsidR="00C80F23" w:rsidRPr="00512269" w:rsidRDefault="00C80F23" w:rsidP="00733546">
      <w:pPr>
        <w:pStyle w:val="ListParagraph"/>
        <w:numPr>
          <w:ilvl w:val="1"/>
          <w:numId w:val="4"/>
        </w:numPr>
        <w:spacing w:after="0" w:line="240" w:lineRule="auto"/>
        <w:ind w:left="0" w:firstLine="0"/>
        <w:rPr>
          <w:rFonts w:cstheme="minorHAnsi"/>
        </w:rPr>
      </w:pPr>
      <w:r w:rsidRPr="00512269">
        <w:rPr>
          <w:rFonts w:cstheme="minorHAnsi"/>
        </w:rPr>
        <w:t xml:space="preserve">We will all strive to eradicate the myths and assumptions that can lead to some people becoming alienated and disempowered, especially where the narrow approaches children may experience elsewhere may make it harder for them to challenge or question these radical influences. We will ensure that all of our staff are equipped to recognise extremism and are skilled and confident enough to challenge it. </w:t>
      </w:r>
      <w:r w:rsidRPr="00512269">
        <w:rPr>
          <w:rFonts w:cstheme="minorHAnsi"/>
        </w:rPr>
        <w:br/>
      </w:r>
    </w:p>
    <w:p w14:paraId="1B304396" w14:textId="77777777" w:rsidR="00C80F23" w:rsidRPr="00512269" w:rsidRDefault="00C80F23" w:rsidP="00733546">
      <w:pPr>
        <w:pStyle w:val="ListParagraph"/>
        <w:numPr>
          <w:ilvl w:val="1"/>
          <w:numId w:val="4"/>
        </w:numPr>
        <w:spacing w:after="0" w:line="240" w:lineRule="auto"/>
        <w:ind w:left="0" w:firstLine="0"/>
        <w:rPr>
          <w:rFonts w:cstheme="minorHAnsi"/>
        </w:rPr>
      </w:pPr>
      <w:r w:rsidRPr="00512269">
        <w:rPr>
          <w:rFonts w:cstheme="minorHAnsi"/>
        </w:rPr>
        <w:t>This approach will be embedded within the ethos of our Company so that learners and staff know and understand what safe and acceptable behaviour is in the context of extremism and radicalisation. This will work in conjunction with our Company’s approach to the spiritual, moral, social and cultural development of learners as defined in Ofsted’s Company Inspection Handbook.</w:t>
      </w:r>
      <w:r w:rsidRPr="00512269">
        <w:rPr>
          <w:rFonts w:cstheme="minorHAnsi"/>
        </w:rPr>
        <w:br/>
      </w:r>
    </w:p>
    <w:p w14:paraId="1B304397" w14:textId="77777777" w:rsidR="00C80F23" w:rsidRPr="00512269" w:rsidRDefault="006731A0" w:rsidP="00733546">
      <w:pPr>
        <w:pStyle w:val="ListParagraph"/>
        <w:numPr>
          <w:ilvl w:val="1"/>
          <w:numId w:val="4"/>
        </w:numPr>
        <w:spacing w:after="0" w:line="240" w:lineRule="auto"/>
        <w:ind w:left="0" w:firstLine="0"/>
        <w:rPr>
          <w:rFonts w:cstheme="minorHAnsi"/>
        </w:rPr>
      </w:pPr>
      <w:r w:rsidRPr="00512269">
        <w:rPr>
          <w:rFonts w:cstheme="minorHAnsi"/>
        </w:rPr>
        <w:t>Our goal is to build mutual respect and understanding and to promote the use of dialogue not violence as a form of conflict resolution.</w:t>
      </w:r>
      <w:r w:rsidRPr="00512269">
        <w:rPr>
          <w:rFonts w:cstheme="minorHAnsi"/>
        </w:rPr>
        <w:br/>
      </w:r>
    </w:p>
    <w:p w14:paraId="1B304398" w14:textId="77777777" w:rsidR="006731A0" w:rsidRPr="00512269" w:rsidRDefault="006731A0" w:rsidP="00733546">
      <w:pPr>
        <w:pStyle w:val="ListParagraph"/>
        <w:numPr>
          <w:ilvl w:val="1"/>
          <w:numId w:val="4"/>
        </w:numPr>
        <w:spacing w:after="0" w:line="240" w:lineRule="auto"/>
        <w:ind w:left="0" w:firstLine="0"/>
        <w:rPr>
          <w:rFonts w:cstheme="minorHAnsi"/>
        </w:rPr>
      </w:pPr>
      <w:r w:rsidRPr="00512269">
        <w:rPr>
          <w:rFonts w:cstheme="minorHAnsi"/>
        </w:rPr>
        <w:t xml:space="preserve">We will help support learners who may be vulnerable to such influences as part of our wider safeguarding responsibilities and where we believe a learner or member of staff is being directly affected by extremist materials or influences we will ensure that they are offered support from the Local Authority and/or local partnership structures working to prevent extremism. </w:t>
      </w:r>
      <w:r w:rsidRPr="00512269">
        <w:rPr>
          <w:rFonts w:cstheme="minorHAnsi"/>
        </w:rPr>
        <w:br/>
      </w:r>
    </w:p>
    <w:p w14:paraId="1B304399" w14:textId="77777777" w:rsidR="00733546" w:rsidRPr="00512269" w:rsidRDefault="00733546" w:rsidP="00733546">
      <w:pPr>
        <w:pStyle w:val="ListParagraph"/>
        <w:spacing w:after="0" w:line="240" w:lineRule="auto"/>
        <w:ind w:left="0"/>
        <w:rPr>
          <w:rFonts w:cstheme="minorHAnsi"/>
        </w:rPr>
      </w:pPr>
    </w:p>
    <w:p w14:paraId="1B30439A" w14:textId="77777777" w:rsidR="00733546" w:rsidRPr="00512269" w:rsidRDefault="00733546" w:rsidP="00733546">
      <w:pPr>
        <w:pStyle w:val="ListParagraph"/>
        <w:spacing w:after="0" w:line="240" w:lineRule="auto"/>
        <w:ind w:left="0"/>
        <w:rPr>
          <w:rFonts w:cstheme="minorHAnsi"/>
        </w:rPr>
      </w:pPr>
    </w:p>
    <w:p w14:paraId="1B30439B" w14:textId="77777777" w:rsidR="006731A0" w:rsidRPr="00512269" w:rsidRDefault="006731A0" w:rsidP="00733546">
      <w:pPr>
        <w:pStyle w:val="Heading1"/>
        <w:spacing w:before="0" w:line="240" w:lineRule="auto"/>
        <w:rPr>
          <w:rFonts w:asciiTheme="minorHAnsi" w:hAnsiTheme="minorHAnsi" w:cstheme="minorHAnsi"/>
          <w:sz w:val="22"/>
          <w:szCs w:val="22"/>
        </w:rPr>
      </w:pPr>
      <w:bookmarkStart w:id="3" w:name="_Toc1042686"/>
      <w:r w:rsidRPr="00512269">
        <w:rPr>
          <w:rFonts w:asciiTheme="minorHAnsi" w:hAnsiTheme="minorHAnsi" w:cstheme="minorHAnsi"/>
          <w:sz w:val="22"/>
          <w:szCs w:val="22"/>
        </w:rPr>
        <w:t>Whistle blowing</w:t>
      </w:r>
      <w:bookmarkEnd w:id="3"/>
      <w:r w:rsidRPr="00512269">
        <w:rPr>
          <w:rFonts w:asciiTheme="minorHAnsi" w:hAnsiTheme="minorHAnsi" w:cstheme="minorHAnsi"/>
          <w:sz w:val="22"/>
          <w:szCs w:val="22"/>
        </w:rPr>
        <w:br/>
      </w:r>
    </w:p>
    <w:p w14:paraId="1B30439C" w14:textId="77777777" w:rsidR="006731A0" w:rsidRPr="00512269" w:rsidRDefault="006731A0" w:rsidP="00733546">
      <w:pPr>
        <w:pStyle w:val="ListParagraph"/>
        <w:numPr>
          <w:ilvl w:val="1"/>
          <w:numId w:val="4"/>
        </w:numPr>
        <w:spacing w:after="0" w:line="240" w:lineRule="auto"/>
        <w:ind w:left="0" w:firstLine="0"/>
        <w:rPr>
          <w:rFonts w:cstheme="minorHAnsi"/>
          <w:b/>
        </w:rPr>
      </w:pPr>
      <w:r w:rsidRPr="00512269">
        <w:rPr>
          <w:rFonts w:cstheme="minorHAnsi"/>
        </w:rPr>
        <w:t xml:space="preserve">Where there are concerns of extremism or radicalisation Learners and Staff will be encouraged to make use of our internal systems to whistle blow or raise any issue in confidence. Please refer to the separate Whistle blowing Policy. </w:t>
      </w:r>
      <w:r w:rsidRPr="00512269">
        <w:rPr>
          <w:rFonts w:cstheme="minorHAnsi"/>
        </w:rPr>
        <w:br/>
      </w:r>
    </w:p>
    <w:p w14:paraId="1B30439D" w14:textId="77777777" w:rsidR="00733546" w:rsidRPr="00512269" w:rsidRDefault="00733546" w:rsidP="00733546">
      <w:pPr>
        <w:pStyle w:val="ListParagraph"/>
        <w:spacing w:after="0" w:line="240" w:lineRule="auto"/>
        <w:ind w:left="0"/>
        <w:rPr>
          <w:rFonts w:cstheme="minorHAnsi"/>
          <w:b/>
        </w:rPr>
      </w:pPr>
    </w:p>
    <w:p w14:paraId="1B30439E" w14:textId="77777777" w:rsidR="006731A0" w:rsidRPr="00512269" w:rsidRDefault="006731A0" w:rsidP="00733546">
      <w:pPr>
        <w:pStyle w:val="Heading1"/>
        <w:spacing w:before="0" w:line="240" w:lineRule="auto"/>
        <w:rPr>
          <w:rFonts w:asciiTheme="minorHAnsi" w:hAnsiTheme="minorHAnsi" w:cstheme="minorHAnsi"/>
          <w:sz w:val="22"/>
          <w:szCs w:val="22"/>
        </w:rPr>
      </w:pPr>
      <w:bookmarkStart w:id="4" w:name="_Toc1042687"/>
      <w:r w:rsidRPr="00512269">
        <w:rPr>
          <w:rFonts w:asciiTheme="minorHAnsi" w:hAnsiTheme="minorHAnsi" w:cstheme="minorHAnsi"/>
          <w:sz w:val="22"/>
          <w:szCs w:val="22"/>
        </w:rPr>
        <w:lastRenderedPageBreak/>
        <w:t>Protection</w:t>
      </w:r>
      <w:bookmarkEnd w:id="4"/>
      <w:r w:rsidRPr="00512269">
        <w:rPr>
          <w:rFonts w:asciiTheme="minorHAnsi" w:hAnsiTheme="minorHAnsi" w:cstheme="minorHAnsi"/>
          <w:sz w:val="22"/>
          <w:szCs w:val="22"/>
        </w:rPr>
        <w:t xml:space="preserve"> </w:t>
      </w:r>
      <w:r w:rsidRPr="00512269">
        <w:rPr>
          <w:rFonts w:asciiTheme="minorHAnsi" w:hAnsiTheme="minorHAnsi" w:cstheme="minorHAnsi"/>
          <w:sz w:val="22"/>
          <w:szCs w:val="22"/>
        </w:rPr>
        <w:br/>
      </w:r>
    </w:p>
    <w:p w14:paraId="1B30439F" w14:textId="77777777" w:rsidR="006731A0" w:rsidRPr="00512269" w:rsidRDefault="006731A0" w:rsidP="00733546">
      <w:pPr>
        <w:pStyle w:val="ListParagraph"/>
        <w:numPr>
          <w:ilvl w:val="1"/>
          <w:numId w:val="4"/>
        </w:numPr>
        <w:spacing w:after="0" w:line="240" w:lineRule="auto"/>
        <w:ind w:left="0" w:firstLine="0"/>
        <w:rPr>
          <w:rFonts w:cstheme="minorHAnsi"/>
        </w:rPr>
      </w:pPr>
      <w:r w:rsidRPr="00512269">
        <w:rPr>
          <w:rFonts w:cstheme="minorHAnsi"/>
        </w:rPr>
        <w:t>Staff at Dentrain Professionals Ltd will be alert to the fact that whilst Extremism and Radicalisation is broadly a safeguarding issue there may be some instances where students or staff may be at direct risk of harm or neglect. For example; this could be due to a student displaying risky behaviours in terms of the activities they are involved in or the groups they are associated with or staff may be aware of information about a learner’s family that may equally place them at risk of harm (these examples are for illustration and are not definitive or exhaustive).</w:t>
      </w:r>
      <w:r w:rsidRPr="00512269">
        <w:rPr>
          <w:rFonts w:cstheme="minorHAnsi"/>
        </w:rPr>
        <w:br/>
      </w:r>
    </w:p>
    <w:p w14:paraId="1B3043A0" w14:textId="77777777" w:rsidR="006731A0" w:rsidRPr="00512269" w:rsidRDefault="006731A0" w:rsidP="00733546">
      <w:pPr>
        <w:pStyle w:val="ListParagraph"/>
        <w:numPr>
          <w:ilvl w:val="1"/>
          <w:numId w:val="4"/>
        </w:numPr>
        <w:spacing w:after="0" w:line="240" w:lineRule="auto"/>
        <w:ind w:left="0" w:firstLine="0"/>
        <w:rPr>
          <w:rFonts w:cstheme="minorHAnsi"/>
        </w:rPr>
      </w:pPr>
      <w:r w:rsidRPr="00512269">
        <w:rPr>
          <w:rFonts w:cstheme="minorHAnsi"/>
        </w:rPr>
        <w:t xml:space="preserve">Therefore all adults working in Dentrain Professionals Ltd (including visiting staff, volunteers, contractors, and students on placement) are required to report instances (or concerns) where they believe a student or colleague may be at risk of harm or neglect. </w:t>
      </w:r>
      <w:r w:rsidRPr="00512269">
        <w:rPr>
          <w:rFonts w:cstheme="minorHAnsi"/>
        </w:rPr>
        <w:br/>
      </w:r>
    </w:p>
    <w:p w14:paraId="1B3043A1" w14:textId="77777777" w:rsidR="006731A0" w:rsidRPr="00512269" w:rsidRDefault="006731A0" w:rsidP="00733546">
      <w:pPr>
        <w:pStyle w:val="Heading2"/>
        <w:spacing w:before="0" w:line="240" w:lineRule="auto"/>
        <w:rPr>
          <w:rFonts w:asciiTheme="minorHAnsi" w:hAnsiTheme="minorHAnsi" w:cstheme="minorHAnsi"/>
          <w:sz w:val="22"/>
          <w:szCs w:val="22"/>
        </w:rPr>
      </w:pPr>
      <w:bookmarkStart w:id="5" w:name="_Toc1042688"/>
      <w:r w:rsidRPr="00512269">
        <w:rPr>
          <w:rFonts w:asciiTheme="minorHAnsi" w:hAnsiTheme="minorHAnsi" w:cstheme="minorHAnsi"/>
          <w:sz w:val="22"/>
          <w:szCs w:val="22"/>
        </w:rPr>
        <w:t>Role of the Designated Person</w:t>
      </w:r>
      <w:bookmarkEnd w:id="5"/>
      <w:r w:rsidRPr="00512269">
        <w:rPr>
          <w:rFonts w:asciiTheme="minorHAnsi" w:hAnsiTheme="minorHAnsi" w:cstheme="minorHAnsi"/>
          <w:sz w:val="22"/>
          <w:szCs w:val="22"/>
        </w:rPr>
        <w:br/>
      </w:r>
    </w:p>
    <w:p w14:paraId="1B3043A2" w14:textId="12171F40" w:rsidR="006731A0" w:rsidRPr="00512269" w:rsidRDefault="006731A0" w:rsidP="00733546">
      <w:pPr>
        <w:pStyle w:val="ListParagraph"/>
        <w:numPr>
          <w:ilvl w:val="1"/>
          <w:numId w:val="4"/>
        </w:numPr>
        <w:spacing w:after="0" w:line="240" w:lineRule="auto"/>
        <w:ind w:left="0" w:firstLine="0"/>
        <w:rPr>
          <w:rFonts w:cstheme="minorHAnsi"/>
        </w:rPr>
      </w:pPr>
      <w:r w:rsidRPr="00512269">
        <w:rPr>
          <w:rFonts w:cstheme="minorHAnsi"/>
        </w:rPr>
        <w:t xml:space="preserve">The Designated Senior Person for Safeguarding is: </w:t>
      </w:r>
      <w:r w:rsidR="00DA3D61" w:rsidRPr="00512269">
        <w:rPr>
          <w:rFonts w:cstheme="minorHAnsi"/>
        </w:rPr>
        <w:t>Zoe Gee</w:t>
      </w:r>
      <w:r w:rsidR="00843355" w:rsidRPr="00512269">
        <w:rPr>
          <w:rFonts w:cstheme="minorHAnsi"/>
        </w:rPr>
        <w:t xml:space="preserve"> and De</w:t>
      </w:r>
      <w:r w:rsidR="00DA3D61" w:rsidRPr="00512269">
        <w:rPr>
          <w:rFonts w:cstheme="minorHAnsi"/>
        </w:rPr>
        <w:t>puty Jackie Brennan</w:t>
      </w:r>
      <w:r w:rsidR="00843355" w:rsidRPr="00512269">
        <w:rPr>
          <w:rFonts w:cstheme="minorHAnsi"/>
        </w:rPr>
        <w:t>.</w:t>
      </w:r>
      <w:r w:rsidRPr="00512269">
        <w:rPr>
          <w:rFonts w:cstheme="minorHAnsi"/>
        </w:rPr>
        <w:br/>
      </w:r>
    </w:p>
    <w:p w14:paraId="1B3043A3" w14:textId="77777777" w:rsidR="006731A0" w:rsidRPr="00512269" w:rsidRDefault="006731A0" w:rsidP="00733546">
      <w:pPr>
        <w:pStyle w:val="ListParagraph"/>
        <w:numPr>
          <w:ilvl w:val="1"/>
          <w:numId w:val="4"/>
        </w:numPr>
        <w:spacing w:after="0" w:line="240" w:lineRule="auto"/>
        <w:ind w:left="0" w:firstLine="0"/>
        <w:rPr>
          <w:rFonts w:cstheme="minorHAnsi"/>
        </w:rPr>
      </w:pPr>
      <w:r w:rsidRPr="00512269">
        <w:rPr>
          <w:rFonts w:cstheme="minorHAnsi"/>
        </w:rPr>
        <w:t>The Designated Person is the focus person and local ‘expert’ for Company staff, and others, who may have concerns about individual safety</w:t>
      </w:r>
      <w:r w:rsidR="00524DD4" w:rsidRPr="00512269">
        <w:rPr>
          <w:rFonts w:cstheme="minorHAnsi"/>
        </w:rPr>
        <w:t xml:space="preserve"> or well-being and is the first point of contact for external agencies.</w:t>
      </w:r>
      <w:r w:rsidR="00524DD4" w:rsidRPr="00512269">
        <w:rPr>
          <w:rFonts w:cstheme="minorHAnsi"/>
        </w:rPr>
        <w:br/>
      </w:r>
    </w:p>
    <w:p w14:paraId="1B3043A4" w14:textId="77777777" w:rsidR="00733546" w:rsidRPr="00512269" w:rsidRDefault="00733546" w:rsidP="00733546">
      <w:pPr>
        <w:pStyle w:val="ListParagraph"/>
        <w:spacing w:after="0" w:line="240" w:lineRule="auto"/>
        <w:ind w:left="0"/>
        <w:rPr>
          <w:rFonts w:cstheme="minorHAnsi"/>
        </w:rPr>
      </w:pPr>
    </w:p>
    <w:p w14:paraId="1B3043A5" w14:textId="77777777" w:rsidR="00524DD4" w:rsidRPr="00512269" w:rsidRDefault="00524DD4" w:rsidP="00733546">
      <w:pPr>
        <w:pStyle w:val="Heading1"/>
        <w:spacing w:before="0" w:line="240" w:lineRule="auto"/>
        <w:rPr>
          <w:rFonts w:asciiTheme="minorHAnsi" w:hAnsiTheme="minorHAnsi" w:cstheme="minorHAnsi"/>
          <w:sz w:val="22"/>
          <w:szCs w:val="22"/>
        </w:rPr>
      </w:pPr>
      <w:bookmarkStart w:id="6" w:name="_Toc1042689"/>
      <w:r w:rsidRPr="00512269">
        <w:rPr>
          <w:rFonts w:asciiTheme="minorHAnsi" w:hAnsiTheme="minorHAnsi" w:cstheme="minorHAnsi"/>
          <w:sz w:val="22"/>
          <w:szCs w:val="22"/>
        </w:rPr>
        <w:t>Training</w:t>
      </w:r>
      <w:bookmarkEnd w:id="6"/>
      <w:r w:rsidRPr="00512269">
        <w:rPr>
          <w:rFonts w:asciiTheme="minorHAnsi" w:hAnsiTheme="minorHAnsi" w:cstheme="minorHAnsi"/>
          <w:sz w:val="22"/>
          <w:szCs w:val="22"/>
        </w:rPr>
        <w:br/>
      </w:r>
    </w:p>
    <w:p w14:paraId="1B3043A6" w14:textId="3178D911" w:rsidR="00524DD4" w:rsidRPr="00512269" w:rsidRDefault="00524DD4" w:rsidP="00733546">
      <w:pPr>
        <w:pStyle w:val="ListParagraph"/>
        <w:numPr>
          <w:ilvl w:val="1"/>
          <w:numId w:val="4"/>
        </w:numPr>
        <w:spacing w:after="0" w:line="240" w:lineRule="auto"/>
        <w:ind w:left="0" w:firstLine="0"/>
        <w:rPr>
          <w:rFonts w:cstheme="minorHAnsi"/>
        </w:rPr>
      </w:pPr>
      <w:r w:rsidRPr="00512269">
        <w:rPr>
          <w:rFonts w:cstheme="minorHAnsi"/>
        </w:rPr>
        <w:t xml:space="preserve">Whole Company in-service training on Safeguarding </w:t>
      </w:r>
      <w:r w:rsidR="006D73EE">
        <w:rPr>
          <w:rFonts w:cstheme="minorHAnsi"/>
        </w:rPr>
        <w:t xml:space="preserve">is a </w:t>
      </w:r>
      <w:r w:rsidRPr="00512269">
        <w:rPr>
          <w:rFonts w:cstheme="minorHAnsi"/>
        </w:rPr>
        <w:t xml:space="preserve">mandatory requirement for all staff and is ‘renewed’ at least every year. </w:t>
      </w:r>
      <w:r w:rsidR="006D73EE">
        <w:rPr>
          <w:rFonts w:cstheme="minorHAnsi"/>
        </w:rPr>
        <w:t xml:space="preserve">Prevent and Channel training is also carried out by all staff annually. </w:t>
      </w:r>
      <w:r w:rsidRPr="00512269">
        <w:rPr>
          <w:rFonts w:cstheme="minorHAnsi"/>
        </w:rPr>
        <w:br/>
      </w:r>
    </w:p>
    <w:p w14:paraId="1B3043A7" w14:textId="77777777" w:rsidR="00733546" w:rsidRPr="00512269" w:rsidRDefault="00733546" w:rsidP="00733546">
      <w:pPr>
        <w:pStyle w:val="ListParagraph"/>
        <w:spacing w:after="0" w:line="240" w:lineRule="auto"/>
        <w:ind w:left="0"/>
        <w:rPr>
          <w:rFonts w:cstheme="minorHAnsi"/>
        </w:rPr>
      </w:pPr>
    </w:p>
    <w:p w14:paraId="1B3043A8" w14:textId="77777777" w:rsidR="00524DD4" w:rsidRPr="00512269" w:rsidRDefault="00524DD4" w:rsidP="00733546">
      <w:pPr>
        <w:pStyle w:val="Heading1"/>
        <w:spacing w:before="0" w:line="240" w:lineRule="auto"/>
        <w:rPr>
          <w:rFonts w:asciiTheme="minorHAnsi" w:hAnsiTheme="minorHAnsi" w:cstheme="minorHAnsi"/>
          <w:sz w:val="22"/>
          <w:szCs w:val="22"/>
        </w:rPr>
      </w:pPr>
      <w:bookmarkStart w:id="7" w:name="_Toc1042690"/>
      <w:r w:rsidRPr="00512269">
        <w:rPr>
          <w:rFonts w:asciiTheme="minorHAnsi" w:hAnsiTheme="minorHAnsi" w:cstheme="minorHAnsi"/>
          <w:sz w:val="22"/>
          <w:szCs w:val="22"/>
        </w:rPr>
        <w:t>Recruitment</w:t>
      </w:r>
      <w:bookmarkEnd w:id="7"/>
      <w:r w:rsidRPr="00512269">
        <w:rPr>
          <w:rFonts w:asciiTheme="minorHAnsi" w:hAnsiTheme="minorHAnsi" w:cstheme="minorHAnsi"/>
          <w:sz w:val="22"/>
          <w:szCs w:val="22"/>
        </w:rPr>
        <w:t xml:space="preserve"> </w:t>
      </w:r>
      <w:r w:rsidRPr="00512269">
        <w:rPr>
          <w:rFonts w:asciiTheme="minorHAnsi" w:hAnsiTheme="minorHAnsi" w:cstheme="minorHAnsi"/>
          <w:sz w:val="22"/>
          <w:szCs w:val="22"/>
        </w:rPr>
        <w:br/>
      </w:r>
    </w:p>
    <w:p w14:paraId="1B3043A9" w14:textId="396A9AE7" w:rsidR="00524DD4" w:rsidRPr="00512269" w:rsidRDefault="00524DD4" w:rsidP="00733546">
      <w:pPr>
        <w:pStyle w:val="ListParagraph"/>
        <w:numPr>
          <w:ilvl w:val="1"/>
          <w:numId w:val="4"/>
        </w:numPr>
        <w:spacing w:after="0" w:line="240" w:lineRule="auto"/>
        <w:ind w:left="0" w:firstLine="0"/>
        <w:rPr>
          <w:rFonts w:cstheme="minorHAnsi"/>
        </w:rPr>
      </w:pPr>
      <w:r w:rsidRPr="00512269">
        <w:rPr>
          <w:rFonts w:cstheme="minorHAnsi"/>
        </w:rPr>
        <w:t>The arrangements for recruiting all staff, permanent and volunteers, to our Company will follow our own guidance on targeted recruitment, including, but not limited to, ensuring that DBS checks are always made at the appropriate level, that references are always received and checked and that we complete and maintain a Single Central Record of such vetting checks.</w:t>
      </w:r>
      <w:r w:rsidR="00770051">
        <w:rPr>
          <w:rFonts w:cstheme="minorHAnsi"/>
        </w:rPr>
        <w:t xml:space="preserve"> A Risk Assessment will be completed </w:t>
      </w:r>
      <w:r w:rsidR="00876CD0">
        <w:rPr>
          <w:rFonts w:cstheme="minorHAnsi"/>
        </w:rPr>
        <w:t xml:space="preserve">for Assessing staff if the DBS is not back prior to starting their job. </w:t>
      </w:r>
      <w:r w:rsidRPr="00512269">
        <w:rPr>
          <w:rFonts w:cstheme="minorHAnsi"/>
        </w:rPr>
        <w:br/>
      </w:r>
    </w:p>
    <w:p w14:paraId="1B3043AA" w14:textId="77777777" w:rsidR="00524DD4" w:rsidRPr="00512269" w:rsidRDefault="00524DD4" w:rsidP="00733546">
      <w:pPr>
        <w:pStyle w:val="ListParagraph"/>
        <w:numPr>
          <w:ilvl w:val="1"/>
          <w:numId w:val="4"/>
        </w:numPr>
        <w:spacing w:after="0" w:line="240" w:lineRule="auto"/>
        <w:ind w:left="0" w:firstLine="0"/>
        <w:rPr>
          <w:rFonts w:cstheme="minorHAnsi"/>
        </w:rPr>
      </w:pPr>
      <w:r w:rsidRPr="00512269">
        <w:rPr>
          <w:rFonts w:cstheme="minorHAnsi"/>
        </w:rPr>
        <w:t xml:space="preserve">The application of this process will aim to deny opportunities for inappropriate recruitment or advancement. We will be alert to the possibility that persons may seek to gain positions within our Company so as to unduly influence our Company’s character and ethos. We are aware that such persons seek to limit the opportunities for our learners and staff thereby rendering them vulnerable to extremist views and radicalisation as a consequence. </w:t>
      </w:r>
      <w:r w:rsidRPr="00512269">
        <w:rPr>
          <w:rFonts w:cstheme="minorHAnsi"/>
        </w:rPr>
        <w:br/>
      </w:r>
    </w:p>
    <w:p w14:paraId="1B3043AB" w14:textId="77777777" w:rsidR="00524DD4" w:rsidRPr="00512269" w:rsidRDefault="00524DD4" w:rsidP="00733546">
      <w:pPr>
        <w:pStyle w:val="ListParagraph"/>
        <w:numPr>
          <w:ilvl w:val="1"/>
          <w:numId w:val="4"/>
        </w:numPr>
        <w:spacing w:after="0" w:line="240" w:lineRule="auto"/>
        <w:ind w:left="0" w:firstLine="0"/>
        <w:rPr>
          <w:rFonts w:cstheme="minorHAnsi"/>
        </w:rPr>
      </w:pPr>
      <w:r w:rsidRPr="00512269">
        <w:rPr>
          <w:rFonts w:cstheme="minorHAnsi"/>
        </w:rPr>
        <w:t xml:space="preserve">As a company we seek to encourage an ongoing culture of vigilance within our Company we aim to minimise the opportunities for extremist views to prevail. </w:t>
      </w:r>
      <w:r w:rsidRPr="00512269">
        <w:rPr>
          <w:rFonts w:cstheme="minorHAnsi"/>
        </w:rPr>
        <w:br/>
      </w:r>
    </w:p>
    <w:p w14:paraId="1B3043AC" w14:textId="77777777" w:rsidR="00733546" w:rsidRPr="00512269" w:rsidRDefault="00733546" w:rsidP="00733546">
      <w:pPr>
        <w:pStyle w:val="ListParagraph"/>
        <w:spacing w:after="0" w:line="240" w:lineRule="auto"/>
        <w:ind w:left="0"/>
        <w:rPr>
          <w:rFonts w:cstheme="minorHAnsi"/>
        </w:rPr>
      </w:pPr>
    </w:p>
    <w:p w14:paraId="1B3043AD" w14:textId="77777777" w:rsidR="00524DD4" w:rsidRPr="00512269" w:rsidRDefault="00524DD4" w:rsidP="00733546">
      <w:pPr>
        <w:pStyle w:val="Heading1"/>
        <w:spacing w:before="0" w:line="240" w:lineRule="auto"/>
        <w:rPr>
          <w:rFonts w:asciiTheme="minorHAnsi" w:hAnsiTheme="minorHAnsi" w:cstheme="minorHAnsi"/>
          <w:sz w:val="22"/>
          <w:szCs w:val="22"/>
        </w:rPr>
      </w:pPr>
      <w:bookmarkStart w:id="8" w:name="_Toc1042691"/>
      <w:r w:rsidRPr="00512269">
        <w:rPr>
          <w:rFonts w:asciiTheme="minorHAnsi" w:hAnsiTheme="minorHAnsi" w:cstheme="minorHAnsi"/>
          <w:sz w:val="22"/>
          <w:szCs w:val="22"/>
        </w:rPr>
        <w:t>As a Company</w:t>
      </w:r>
      <w:bookmarkEnd w:id="8"/>
      <w:r w:rsidRPr="00512269">
        <w:rPr>
          <w:rFonts w:asciiTheme="minorHAnsi" w:hAnsiTheme="minorHAnsi" w:cstheme="minorHAnsi"/>
          <w:sz w:val="22"/>
          <w:szCs w:val="22"/>
        </w:rPr>
        <w:t xml:space="preserve"> </w:t>
      </w:r>
      <w:r w:rsidRPr="00512269">
        <w:rPr>
          <w:rFonts w:asciiTheme="minorHAnsi" w:hAnsiTheme="minorHAnsi" w:cstheme="minorHAnsi"/>
          <w:sz w:val="22"/>
          <w:szCs w:val="22"/>
        </w:rPr>
        <w:br/>
      </w:r>
    </w:p>
    <w:p w14:paraId="1B3043AE" w14:textId="1EBD9CF4" w:rsidR="008F2715" w:rsidRPr="00512269" w:rsidRDefault="008F2715" w:rsidP="00733546">
      <w:pPr>
        <w:pStyle w:val="ListParagraph"/>
        <w:numPr>
          <w:ilvl w:val="1"/>
          <w:numId w:val="4"/>
        </w:numPr>
        <w:spacing w:after="0" w:line="240" w:lineRule="auto"/>
        <w:ind w:left="0" w:firstLine="0"/>
        <w:rPr>
          <w:rFonts w:cstheme="minorHAnsi"/>
        </w:rPr>
      </w:pPr>
      <w:r w:rsidRPr="00512269">
        <w:rPr>
          <w:rFonts w:cstheme="minorHAnsi"/>
        </w:rPr>
        <w:t xml:space="preserve">As a company we will ensure that appropriate policies and procedures are in place, and implemented effectively, to learners from the risks posed by external speakers and events. </w:t>
      </w:r>
      <w:r w:rsidRPr="00512269">
        <w:rPr>
          <w:rFonts w:cstheme="minorHAnsi"/>
        </w:rPr>
        <w:br/>
      </w:r>
      <w:r w:rsidRPr="00512269">
        <w:rPr>
          <w:rFonts w:cstheme="minorHAnsi"/>
        </w:rPr>
        <w:lastRenderedPageBreak/>
        <w:br/>
        <w:t>- Develop stronger and more supportive links with partners, including Local Authorities, to develop stringent information-sharing protocols and share intelligence.</w:t>
      </w:r>
      <w:r w:rsidRPr="00512269">
        <w:rPr>
          <w:rFonts w:cstheme="minorHAnsi"/>
        </w:rPr>
        <w:br/>
      </w:r>
      <w:r w:rsidRPr="00512269">
        <w:rPr>
          <w:rFonts w:cstheme="minorHAnsi"/>
        </w:rPr>
        <w:br/>
        <w:t>- Ensure that risks assessments and associated action plans are of high quality and cover all aspects of the ‘Prevent’ duty.</w:t>
      </w:r>
      <w:r w:rsidRPr="00512269">
        <w:rPr>
          <w:rFonts w:cstheme="minorHAnsi"/>
        </w:rPr>
        <w:br/>
      </w:r>
      <w:r w:rsidRPr="00512269">
        <w:rPr>
          <w:rFonts w:cstheme="minorHAnsi"/>
        </w:rPr>
        <w:br/>
        <w:t xml:space="preserve">- Provide staff training that is aligned to job roles and evaluate this to measure its impact across the organisation. </w:t>
      </w:r>
      <w:r w:rsidRPr="00512269">
        <w:rPr>
          <w:rFonts w:cstheme="minorHAnsi"/>
        </w:rPr>
        <w:br/>
      </w:r>
      <w:r w:rsidRPr="00512269">
        <w:rPr>
          <w:rFonts w:cstheme="minorHAnsi"/>
        </w:rPr>
        <w:br/>
        <w:t xml:space="preserve">- Ensure that learners have a good understanding of British Values and the risks and threats of radicalisation and extremism. </w:t>
      </w:r>
      <w:r w:rsidRPr="00512269">
        <w:rPr>
          <w:rFonts w:cstheme="minorHAnsi"/>
        </w:rPr>
        <w:br/>
      </w:r>
      <w:r w:rsidRPr="00512269">
        <w:rPr>
          <w:rFonts w:cstheme="minorHAnsi"/>
        </w:rPr>
        <w:br/>
        <w:t xml:space="preserve">- Refer to the ‘Prevent’ duty explicitly in IT policies and procedures, closely monitor learners’ use of IT facilities to identify inappropriate usage, and work with partners and external agencies for additional support, information and intelligence. </w:t>
      </w:r>
      <w:r w:rsidRPr="00512269">
        <w:rPr>
          <w:rFonts w:cstheme="minorHAnsi"/>
        </w:rPr>
        <w:br/>
      </w:r>
    </w:p>
    <w:p w14:paraId="1B3043AF" w14:textId="43BC02A0" w:rsidR="008F2715" w:rsidRPr="00512269" w:rsidRDefault="00DA3D61" w:rsidP="00733546">
      <w:pPr>
        <w:pStyle w:val="ListParagraph"/>
        <w:numPr>
          <w:ilvl w:val="1"/>
          <w:numId w:val="4"/>
        </w:numPr>
        <w:spacing w:after="0" w:line="240" w:lineRule="auto"/>
        <w:ind w:left="0" w:firstLine="0"/>
        <w:rPr>
          <w:rFonts w:cstheme="minorHAnsi"/>
        </w:rPr>
      </w:pPr>
      <w:r w:rsidRPr="00512269">
        <w:rPr>
          <w:rFonts w:cstheme="minorHAnsi"/>
        </w:rPr>
        <w:t>‘</w:t>
      </w:r>
      <w:r w:rsidR="008F2715" w:rsidRPr="00512269">
        <w:rPr>
          <w:rFonts w:cstheme="minorHAnsi"/>
        </w:rPr>
        <w:t xml:space="preserve">Prevent’ – aims to stop people becoming terrorists or supporting terrorism. Delivered in partnership with a range of organisations including further education and skills providers. </w:t>
      </w:r>
      <w:r w:rsidR="008F2715" w:rsidRPr="00512269">
        <w:rPr>
          <w:rFonts w:cstheme="minorHAnsi"/>
        </w:rPr>
        <w:br/>
      </w:r>
    </w:p>
    <w:p w14:paraId="1B3043B0" w14:textId="4AC3DC15" w:rsidR="008F2715" w:rsidRPr="00512269" w:rsidRDefault="008F2715" w:rsidP="00733546">
      <w:pPr>
        <w:pStyle w:val="ListParagraph"/>
        <w:numPr>
          <w:ilvl w:val="1"/>
          <w:numId w:val="4"/>
        </w:numPr>
        <w:spacing w:after="0" w:line="240" w:lineRule="auto"/>
        <w:ind w:left="0" w:firstLine="0"/>
        <w:rPr>
          <w:rFonts w:cstheme="minorHAnsi"/>
        </w:rPr>
      </w:pPr>
      <w:r w:rsidRPr="00512269">
        <w:rPr>
          <w:rFonts w:cstheme="minorHAnsi"/>
        </w:rPr>
        <w:t>The ‘Prevent duty</w:t>
      </w:r>
      <w:r w:rsidR="002041ED" w:rsidRPr="00512269">
        <w:rPr>
          <w:rFonts w:cstheme="minorHAnsi"/>
        </w:rPr>
        <w:t>’</w:t>
      </w:r>
      <w:r w:rsidRPr="00512269">
        <w:rPr>
          <w:rFonts w:cstheme="minorHAnsi"/>
        </w:rPr>
        <w:t xml:space="preserve"> specifically mentions Jisc as a source of specialist support and advices to help providers ensure learners are safe online and appropriate safeguards are in place. Jisc also has a Computer Security Incident Response Team who can provide assistance in the event of an online incident occurring. </w:t>
      </w:r>
      <w:hyperlink r:id="rId13" w:history="1">
        <w:r w:rsidRPr="00512269">
          <w:rPr>
            <w:rStyle w:val="Hyperlink"/>
            <w:rFonts w:cstheme="minorHAnsi"/>
          </w:rPr>
          <w:t>www.jisc.ac.uk</w:t>
        </w:r>
      </w:hyperlink>
      <w:r w:rsidRPr="00512269">
        <w:rPr>
          <w:rFonts w:cstheme="minorHAnsi"/>
        </w:rPr>
        <w:t xml:space="preserve">. </w:t>
      </w:r>
      <w:r w:rsidRPr="00512269">
        <w:rPr>
          <w:rFonts w:cstheme="minorHAnsi"/>
        </w:rPr>
        <w:br/>
      </w:r>
    </w:p>
    <w:p w14:paraId="1B3043B1" w14:textId="711683C8" w:rsidR="008F2715" w:rsidRPr="00512269" w:rsidRDefault="008F2715" w:rsidP="00733546">
      <w:pPr>
        <w:pStyle w:val="ListParagraph"/>
        <w:numPr>
          <w:ilvl w:val="1"/>
          <w:numId w:val="4"/>
        </w:numPr>
        <w:spacing w:after="0" w:line="240" w:lineRule="auto"/>
        <w:ind w:left="0" w:firstLine="0"/>
        <w:rPr>
          <w:rFonts w:cstheme="minorHAnsi"/>
        </w:rPr>
      </w:pPr>
      <w:r w:rsidRPr="00512269">
        <w:rPr>
          <w:rFonts w:cstheme="minorHAnsi"/>
        </w:rPr>
        <w:t xml:space="preserve">Channel is a programme which </w:t>
      </w:r>
      <w:r w:rsidR="00FC79C5" w:rsidRPr="00512269">
        <w:rPr>
          <w:rFonts w:cstheme="minorHAnsi"/>
        </w:rPr>
        <w:t>focuses on</w:t>
      </w:r>
      <w:r w:rsidRPr="00512269">
        <w:rPr>
          <w:rFonts w:cstheme="minorHAnsi"/>
        </w:rPr>
        <w:t xml:space="preserve"> providing support at an early stage to people who are </w:t>
      </w:r>
      <w:r w:rsidR="00FC79C5" w:rsidRPr="00512269">
        <w:rPr>
          <w:rFonts w:cstheme="minorHAnsi"/>
        </w:rPr>
        <w:t>identified</w:t>
      </w:r>
      <w:r w:rsidRPr="00512269">
        <w:rPr>
          <w:rFonts w:cstheme="minorHAnsi"/>
        </w:rPr>
        <w:t xml:space="preserve"> as being vulnerable to being drawn in terrorism. The Channel General Awareness Training Module provides information on channel.</w:t>
      </w:r>
      <w:r w:rsidRPr="00512269">
        <w:rPr>
          <w:rFonts w:cstheme="minorHAnsi"/>
        </w:rPr>
        <w:br/>
      </w:r>
      <w:hyperlink r:id="rId14" w:history="1">
        <w:r w:rsidR="00FC79C5" w:rsidRPr="00512269">
          <w:rPr>
            <w:rStyle w:val="Hyperlink"/>
            <w:rFonts w:cstheme="minorHAnsi"/>
          </w:rPr>
          <w:t>http://course.ncalt.com/Channel_General_Awareness/01/index.html</w:t>
        </w:r>
      </w:hyperlink>
      <w:r w:rsidR="00FC79C5" w:rsidRPr="00512269">
        <w:rPr>
          <w:rFonts w:cstheme="minorHAnsi"/>
        </w:rPr>
        <w:t xml:space="preserve">. </w:t>
      </w:r>
    </w:p>
    <w:p w14:paraId="1B3043B2" w14:textId="77777777" w:rsidR="00733546" w:rsidRPr="00512269" w:rsidRDefault="00733546" w:rsidP="00733546">
      <w:pPr>
        <w:spacing w:after="0" w:line="240" w:lineRule="auto"/>
        <w:rPr>
          <w:rFonts w:cstheme="minorHAnsi"/>
        </w:rPr>
      </w:pPr>
    </w:p>
    <w:p w14:paraId="1B3043B3" w14:textId="77777777" w:rsidR="00733546" w:rsidRPr="00512269" w:rsidRDefault="00733546" w:rsidP="00733546">
      <w:pPr>
        <w:spacing w:after="0" w:line="240" w:lineRule="auto"/>
        <w:rPr>
          <w:rFonts w:cstheme="minorHAnsi"/>
        </w:rPr>
      </w:pPr>
    </w:p>
    <w:p w14:paraId="1B3043B4" w14:textId="77777777" w:rsidR="00733546" w:rsidRPr="00512269" w:rsidRDefault="00733546" w:rsidP="00733546">
      <w:pPr>
        <w:spacing w:after="0" w:line="240" w:lineRule="auto"/>
        <w:rPr>
          <w:rFonts w:cstheme="minorHAnsi"/>
        </w:rPr>
      </w:pPr>
    </w:p>
    <w:p w14:paraId="1B3043B5" w14:textId="77777777" w:rsidR="00733546" w:rsidRPr="00512269" w:rsidRDefault="00733546" w:rsidP="00733546">
      <w:pPr>
        <w:spacing w:after="0" w:line="240" w:lineRule="auto"/>
        <w:rPr>
          <w:rFonts w:cstheme="minorHAnsi"/>
        </w:rPr>
      </w:pPr>
    </w:p>
    <w:p w14:paraId="1B3043B6" w14:textId="77777777" w:rsidR="00733546" w:rsidRPr="00512269" w:rsidRDefault="00733546" w:rsidP="00733546">
      <w:pPr>
        <w:spacing w:after="0" w:line="240" w:lineRule="auto"/>
        <w:rPr>
          <w:rFonts w:cstheme="minorHAnsi"/>
        </w:rPr>
      </w:pPr>
    </w:p>
    <w:p w14:paraId="1B3043FD" w14:textId="77777777" w:rsidR="00733546" w:rsidRPr="00733546" w:rsidRDefault="00733546" w:rsidP="00733546">
      <w:pPr>
        <w:spacing w:after="0" w:line="240" w:lineRule="auto"/>
        <w:rPr>
          <w:rFonts w:ascii="Calibri" w:hAnsi="Calibri" w:cs="Calibri"/>
          <w:sz w:val="24"/>
          <w:szCs w:val="28"/>
        </w:rPr>
      </w:pPr>
    </w:p>
    <w:sectPr w:rsidR="00733546" w:rsidRPr="00733546" w:rsidSect="00087BD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632D" w14:textId="77777777" w:rsidR="00755D6F" w:rsidRDefault="00755D6F" w:rsidP="008818F3">
      <w:pPr>
        <w:spacing w:after="0" w:line="240" w:lineRule="auto"/>
      </w:pPr>
      <w:r>
        <w:separator/>
      </w:r>
    </w:p>
  </w:endnote>
  <w:endnote w:type="continuationSeparator" w:id="0">
    <w:p w14:paraId="20260AFE" w14:textId="77777777" w:rsidR="00755D6F" w:rsidRDefault="00755D6F" w:rsidP="0088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4406" w14:textId="5685251C" w:rsidR="00843355" w:rsidRDefault="0084335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36DEA" w:rsidRPr="00836DEA">
      <w:rPr>
        <w:rFonts w:asciiTheme="majorHAnsi" w:hAnsiTheme="majorHAnsi"/>
        <w:noProof/>
      </w:rPr>
      <w:t>6</w:t>
    </w:r>
    <w:r>
      <w:rPr>
        <w:rFonts w:asciiTheme="majorHAnsi" w:hAnsiTheme="majorHAnsi"/>
        <w:noProof/>
      </w:rPr>
      <w:fldChar w:fldCharType="end"/>
    </w:r>
  </w:p>
  <w:p w14:paraId="1B304407" w14:textId="77777777" w:rsidR="008F2715" w:rsidRDefault="008F2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BAD8" w14:textId="77777777" w:rsidR="00755D6F" w:rsidRDefault="00755D6F" w:rsidP="008818F3">
      <w:pPr>
        <w:spacing w:after="0" w:line="240" w:lineRule="auto"/>
      </w:pPr>
      <w:r>
        <w:separator/>
      </w:r>
    </w:p>
  </w:footnote>
  <w:footnote w:type="continuationSeparator" w:id="0">
    <w:p w14:paraId="60407E6A" w14:textId="77777777" w:rsidR="00755D6F" w:rsidRDefault="00755D6F" w:rsidP="0088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4404" w14:textId="77777777" w:rsidR="004F1E35" w:rsidRDefault="004F1E35">
    <w:pPr>
      <w:pStyle w:val="Header"/>
    </w:pPr>
  </w:p>
  <w:p w14:paraId="1B304405" w14:textId="77777777" w:rsidR="008F2715" w:rsidRDefault="008F2715" w:rsidP="008818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400"/>
    <w:multiLevelType w:val="multilevel"/>
    <w:tmpl w:val="B5DEB5B6"/>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A412E8D"/>
    <w:multiLevelType w:val="hybridMultilevel"/>
    <w:tmpl w:val="DC88D3B6"/>
    <w:lvl w:ilvl="0" w:tplc="96A822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D6506"/>
    <w:multiLevelType w:val="multilevel"/>
    <w:tmpl w:val="DAC076E8"/>
    <w:lvl w:ilvl="0">
      <w:start w:val="1"/>
      <w:numFmt w:val="decimal"/>
      <w:lvlText w:val="%1."/>
      <w:lvlJc w:val="left"/>
      <w:pPr>
        <w:ind w:left="720" w:hanging="360"/>
      </w:pPr>
      <w:rPr>
        <w:rFonts w:hint="default"/>
        <w:sz w:val="28"/>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876175B"/>
    <w:multiLevelType w:val="multilevel"/>
    <w:tmpl w:val="A3F6B0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44254754">
    <w:abstractNumId w:val="1"/>
  </w:num>
  <w:num w:numId="2" w16cid:durableId="2035110357">
    <w:abstractNumId w:val="0"/>
  </w:num>
  <w:num w:numId="3" w16cid:durableId="412746175">
    <w:abstractNumId w:val="3"/>
  </w:num>
  <w:num w:numId="4" w16cid:durableId="901990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F3"/>
    <w:rsid w:val="00031F0A"/>
    <w:rsid w:val="00087BD6"/>
    <w:rsid w:val="000D646A"/>
    <w:rsid w:val="00115626"/>
    <w:rsid w:val="00177316"/>
    <w:rsid w:val="0019723E"/>
    <w:rsid w:val="001C4B21"/>
    <w:rsid w:val="001C60FB"/>
    <w:rsid w:val="001E0B35"/>
    <w:rsid w:val="002041ED"/>
    <w:rsid w:val="00206970"/>
    <w:rsid w:val="002242D4"/>
    <w:rsid w:val="002B41EE"/>
    <w:rsid w:val="002C11D7"/>
    <w:rsid w:val="00322DA8"/>
    <w:rsid w:val="00331E0F"/>
    <w:rsid w:val="00342344"/>
    <w:rsid w:val="003B5A6F"/>
    <w:rsid w:val="004568E4"/>
    <w:rsid w:val="004D3400"/>
    <w:rsid w:val="004E0350"/>
    <w:rsid w:val="004F1E35"/>
    <w:rsid w:val="00512269"/>
    <w:rsid w:val="00524DD4"/>
    <w:rsid w:val="00543EB7"/>
    <w:rsid w:val="0054761C"/>
    <w:rsid w:val="00554E3C"/>
    <w:rsid w:val="005565A4"/>
    <w:rsid w:val="00595AB6"/>
    <w:rsid w:val="00596BBA"/>
    <w:rsid w:val="005A1C3D"/>
    <w:rsid w:val="005D0034"/>
    <w:rsid w:val="005E2DE8"/>
    <w:rsid w:val="005F58A4"/>
    <w:rsid w:val="00640CD7"/>
    <w:rsid w:val="0064462A"/>
    <w:rsid w:val="006731A0"/>
    <w:rsid w:val="00686399"/>
    <w:rsid w:val="006923F0"/>
    <w:rsid w:val="00694037"/>
    <w:rsid w:val="006D73EE"/>
    <w:rsid w:val="007076D3"/>
    <w:rsid w:val="00733546"/>
    <w:rsid w:val="00734280"/>
    <w:rsid w:val="00755D6F"/>
    <w:rsid w:val="00770051"/>
    <w:rsid w:val="007821D2"/>
    <w:rsid w:val="007B5C7D"/>
    <w:rsid w:val="007C32D7"/>
    <w:rsid w:val="007E36C4"/>
    <w:rsid w:val="007F73C8"/>
    <w:rsid w:val="008135C1"/>
    <w:rsid w:val="00836DEA"/>
    <w:rsid w:val="00843355"/>
    <w:rsid w:val="00872A9A"/>
    <w:rsid w:val="00876CD0"/>
    <w:rsid w:val="008818F3"/>
    <w:rsid w:val="00892DA9"/>
    <w:rsid w:val="008F2715"/>
    <w:rsid w:val="0093635B"/>
    <w:rsid w:val="00AA0DBE"/>
    <w:rsid w:val="00AE47D1"/>
    <w:rsid w:val="00AE69AA"/>
    <w:rsid w:val="00B76A6B"/>
    <w:rsid w:val="00B810BC"/>
    <w:rsid w:val="00B97D5C"/>
    <w:rsid w:val="00BA3E60"/>
    <w:rsid w:val="00BA449F"/>
    <w:rsid w:val="00BA733D"/>
    <w:rsid w:val="00BE0F27"/>
    <w:rsid w:val="00C36FDF"/>
    <w:rsid w:val="00C55ED8"/>
    <w:rsid w:val="00C80F23"/>
    <w:rsid w:val="00C90374"/>
    <w:rsid w:val="00D574FB"/>
    <w:rsid w:val="00D6191F"/>
    <w:rsid w:val="00D8409D"/>
    <w:rsid w:val="00D95380"/>
    <w:rsid w:val="00DA3D61"/>
    <w:rsid w:val="00DC116C"/>
    <w:rsid w:val="00E013B7"/>
    <w:rsid w:val="00E475FC"/>
    <w:rsid w:val="00E65A41"/>
    <w:rsid w:val="00EC368A"/>
    <w:rsid w:val="00EE4D09"/>
    <w:rsid w:val="00FC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4368"/>
  <w15:docId w15:val="{C7760FC3-D740-459D-9D83-A50931F3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D6"/>
  </w:style>
  <w:style w:type="paragraph" w:styleId="Heading1">
    <w:name w:val="heading 1"/>
    <w:basedOn w:val="Normal"/>
    <w:next w:val="Normal"/>
    <w:link w:val="Heading1Char"/>
    <w:uiPriority w:val="9"/>
    <w:qFormat/>
    <w:rsid w:val="00733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35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F3"/>
  </w:style>
  <w:style w:type="paragraph" w:styleId="Footer">
    <w:name w:val="footer"/>
    <w:basedOn w:val="Normal"/>
    <w:link w:val="FooterChar"/>
    <w:uiPriority w:val="99"/>
    <w:unhideWhenUsed/>
    <w:rsid w:val="00881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F3"/>
  </w:style>
  <w:style w:type="paragraph" w:styleId="BalloonText">
    <w:name w:val="Balloon Text"/>
    <w:basedOn w:val="Normal"/>
    <w:link w:val="BalloonTextChar"/>
    <w:uiPriority w:val="99"/>
    <w:semiHidden/>
    <w:unhideWhenUsed/>
    <w:rsid w:val="00AE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D1"/>
    <w:rPr>
      <w:rFonts w:ascii="Tahoma" w:hAnsi="Tahoma" w:cs="Tahoma"/>
      <w:sz w:val="16"/>
      <w:szCs w:val="16"/>
    </w:rPr>
  </w:style>
  <w:style w:type="paragraph" w:styleId="ListParagraph">
    <w:name w:val="List Paragraph"/>
    <w:basedOn w:val="Normal"/>
    <w:uiPriority w:val="34"/>
    <w:qFormat/>
    <w:rsid w:val="00177316"/>
    <w:pPr>
      <w:ind w:left="720"/>
      <w:contextualSpacing/>
    </w:pPr>
  </w:style>
  <w:style w:type="character" w:styleId="Hyperlink">
    <w:name w:val="Hyperlink"/>
    <w:basedOn w:val="DefaultParagraphFont"/>
    <w:uiPriority w:val="99"/>
    <w:unhideWhenUsed/>
    <w:rsid w:val="00686399"/>
    <w:rPr>
      <w:color w:val="0000FF" w:themeColor="hyperlink"/>
      <w:u w:val="single"/>
    </w:rPr>
  </w:style>
  <w:style w:type="character" w:customStyle="1" w:styleId="Heading1Char">
    <w:name w:val="Heading 1 Char"/>
    <w:basedOn w:val="DefaultParagraphFont"/>
    <w:link w:val="Heading1"/>
    <w:uiPriority w:val="9"/>
    <w:rsid w:val="007335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354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33546"/>
    <w:pPr>
      <w:outlineLvl w:val="9"/>
    </w:pPr>
    <w:rPr>
      <w:lang w:val="en-US"/>
    </w:rPr>
  </w:style>
  <w:style w:type="paragraph" w:styleId="TOC1">
    <w:name w:val="toc 1"/>
    <w:basedOn w:val="Normal"/>
    <w:next w:val="Normal"/>
    <w:autoRedefine/>
    <w:uiPriority w:val="39"/>
    <w:unhideWhenUsed/>
    <w:rsid w:val="00733546"/>
    <w:pPr>
      <w:spacing w:after="100"/>
    </w:pPr>
  </w:style>
  <w:style w:type="paragraph" w:styleId="TOC2">
    <w:name w:val="toc 2"/>
    <w:basedOn w:val="Normal"/>
    <w:next w:val="Normal"/>
    <w:autoRedefine/>
    <w:uiPriority w:val="39"/>
    <w:unhideWhenUsed/>
    <w:rsid w:val="0073354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isc.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urse.ncalt.com/Channel_General_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ue xmlns="f7fdbaa3-cf9c-4b15-b8f5-47958ceac673" xsi:nil="true"/>
    <Owner xmlns="f7fdbaa3-cf9c-4b15-b8f5-47958ceac673">
      <UserInfo>
        <DisplayName/>
        <AccountId xsi:nil="true"/>
        <AccountType/>
      </UserInfo>
    </Owner>
    <Category xmlns="f7fdbaa3-cf9c-4b15-b8f5-47958ceac6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2E2FEEF52314488011602A88D59E85" ma:contentTypeVersion="9" ma:contentTypeDescription="Create a new document." ma:contentTypeScope="" ma:versionID="b719d93acca531eb51efae62f6409ef9">
  <xsd:schema xmlns:xsd="http://www.w3.org/2001/XMLSchema" xmlns:xs="http://www.w3.org/2001/XMLSchema" xmlns:p="http://schemas.microsoft.com/office/2006/metadata/properties" xmlns:ns2="f7fdbaa3-cf9c-4b15-b8f5-47958ceac673" xmlns:ns3="47a088a6-fc1f-44ee-9999-f260132d9468" targetNamespace="http://schemas.microsoft.com/office/2006/metadata/properties" ma:root="true" ma:fieldsID="31b28ce31dfac23d4335b258b4323d3b" ns2:_="" ns3:_="">
    <xsd:import namespace="f7fdbaa3-cf9c-4b15-b8f5-47958ceac673"/>
    <xsd:import namespace="47a088a6-fc1f-44ee-9999-f260132d9468"/>
    <xsd:element name="properties">
      <xsd:complexType>
        <xsd:sequence>
          <xsd:element name="documentManagement">
            <xsd:complexType>
              <xsd:all>
                <xsd:element ref="ns2:ReviewDue" minOccurs="0"/>
                <xsd:element ref="ns2:Owner" minOccurs="0"/>
                <xsd:element ref="ns2:MediaServiceMetadata" minOccurs="0"/>
                <xsd:element ref="ns2:MediaServiceFastMetadata" minOccurs="0"/>
                <xsd:element ref="ns2:MediaServiceAutoKeyPoints" minOccurs="0"/>
                <xsd:element ref="ns2:MediaServiceKeyPoints" minOccurs="0"/>
                <xsd:element ref="ns2: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baa3-cf9c-4b15-b8f5-47958ceac673" elementFormDefault="qualified">
    <xsd:import namespace="http://schemas.microsoft.com/office/2006/documentManagement/types"/>
    <xsd:import namespace="http://schemas.microsoft.com/office/infopath/2007/PartnerControls"/>
    <xsd:element name="ReviewDue" ma:index="8" nillable="true" ma:displayName="Review Due" ma:format="DateOnly" ma:internalName="ReviewDue">
      <xsd:simpleType>
        <xsd:restriction base="dms:DateTime"/>
      </xsd:simpleType>
    </xsd:element>
    <xsd:element name="Owner" ma:index="9" nillable="true" ma:displayName="Owner" ma:description="The member of staff responsible for reviewing the policy"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ategory" ma:index="14" nillable="true" ma:displayName="Category" ma:format="Dropdown" ma:internalName="Category">
      <xsd:simpleType>
        <xsd:restriction base="dms:Choice">
          <xsd:enumeration value="Staff"/>
          <xsd:enumeration value="Learner"/>
          <xsd:enumeration value="Employer"/>
        </xsd:restriction>
      </xsd:simpleType>
    </xsd:element>
  </xsd:schema>
  <xsd:schema xmlns:xsd="http://www.w3.org/2001/XMLSchema" xmlns:xs="http://www.w3.org/2001/XMLSchema" xmlns:dms="http://schemas.microsoft.com/office/2006/documentManagement/types" xmlns:pc="http://schemas.microsoft.com/office/infopath/2007/PartnerControls" targetNamespace="47a088a6-fc1f-44ee-9999-f260132d94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07068-0ACA-4AC5-8C13-3D65AF918083}">
  <ds:schemaRefs>
    <ds:schemaRef ds:uri="http://schemas.microsoft.com/office/2006/metadata/properties"/>
    <ds:schemaRef ds:uri="http://schemas.microsoft.com/office/infopath/2007/PartnerControls"/>
    <ds:schemaRef ds:uri="f7fdbaa3-cf9c-4b15-b8f5-47958ceac673"/>
  </ds:schemaRefs>
</ds:datastoreItem>
</file>

<file path=customXml/itemProps2.xml><?xml version="1.0" encoding="utf-8"?>
<ds:datastoreItem xmlns:ds="http://schemas.openxmlformats.org/officeDocument/2006/customXml" ds:itemID="{B0E7BEB8-4EBB-49BD-A1DD-D3AAEB753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dbaa3-cf9c-4b15-b8f5-47958ceac673"/>
    <ds:schemaRef ds:uri="47a088a6-fc1f-44ee-9999-f260132d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7BDBB-63FB-4D5D-A65F-9F5102F3B7EE}">
  <ds:schemaRefs>
    <ds:schemaRef ds:uri="http://schemas.openxmlformats.org/officeDocument/2006/bibliography"/>
  </ds:schemaRefs>
</ds:datastoreItem>
</file>

<file path=customXml/itemProps4.xml><?xml version="1.0" encoding="utf-8"?>
<ds:datastoreItem xmlns:ds="http://schemas.openxmlformats.org/officeDocument/2006/customXml" ds:itemID="{16DE7065-ABAC-4CC2-A7EA-3F6CA4C54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Zoe Gee</cp:lastModifiedBy>
  <cp:revision>26</cp:revision>
  <cp:lastPrinted>2020-02-20T10:33:00Z</cp:lastPrinted>
  <dcterms:created xsi:type="dcterms:W3CDTF">2020-02-20T10:31:00Z</dcterms:created>
  <dcterms:modified xsi:type="dcterms:W3CDTF">2022-05-11T08:11:00Z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0x010100832E2FEEF52314488011602A88D59E85</vt:lpwstr>
  </property>
</Properties>
</file>